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6F4B5" w14:textId="198F84B6" w:rsidR="0012388D" w:rsidRDefault="00772BDC" w:rsidP="00CA5734">
      <w:pPr>
        <w:rPr>
          <w:rFonts w:cs="Arial"/>
        </w:rPr>
      </w:pPr>
      <w:bookmarkStart w:id="0" w:name="_GoBack"/>
      <w:bookmarkEnd w:id="0"/>
      <w:r>
        <w:rPr>
          <w:rFonts w:cs="Arial"/>
          <w:noProof/>
          <w:lang w:eastAsia="en-GB" w:bidi="ar-SA"/>
        </w:rPr>
        <w:drawing>
          <wp:inline distT="0" distB="0" distL="0" distR="0" wp14:anchorId="20DE215B" wp14:editId="31E2F73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AB697AD" w14:textId="77777777" w:rsidR="00A671E6" w:rsidRPr="00A877EF" w:rsidRDefault="00A671E6" w:rsidP="00A671E6"/>
    <w:p w14:paraId="336EE2E6" w14:textId="31950F8E" w:rsidR="00A877EF" w:rsidRPr="00842A10" w:rsidRDefault="00C305B7" w:rsidP="00A877EF">
      <w:pPr>
        <w:widowControl/>
        <w:rPr>
          <w:b/>
          <w:sz w:val="28"/>
          <w:szCs w:val="28"/>
          <w:lang w:bidi="ar-SA"/>
        </w:rPr>
      </w:pPr>
      <w:r>
        <w:rPr>
          <w:b/>
          <w:sz w:val="28"/>
          <w:szCs w:val="28"/>
          <w:lang w:bidi="ar-SA"/>
        </w:rPr>
        <w:t>20</w:t>
      </w:r>
      <w:r w:rsidR="00A877EF" w:rsidRPr="00842A10">
        <w:rPr>
          <w:b/>
          <w:sz w:val="28"/>
          <w:szCs w:val="28"/>
          <w:lang w:bidi="ar-SA"/>
        </w:rPr>
        <w:t xml:space="preserve"> May 2016</w:t>
      </w:r>
    </w:p>
    <w:p w14:paraId="40034F72" w14:textId="77777777" w:rsidR="00A877EF" w:rsidRPr="00842A10" w:rsidRDefault="00A877EF" w:rsidP="00A877EF">
      <w:pPr>
        <w:widowControl/>
        <w:rPr>
          <w:b/>
          <w:sz w:val="28"/>
          <w:szCs w:val="28"/>
          <w:lang w:bidi="ar-SA"/>
        </w:rPr>
      </w:pPr>
      <w:r w:rsidRPr="00842A10">
        <w:rPr>
          <w:b/>
          <w:sz w:val="28"/>
          <w:szCs w:val="28"/>
          <w:lang w:bidi="ar-SA"/>
        </w:rPr>
        <w:t>[12–16]</w:t>
      </w:r>
    </w:p>
    <w:p w14:paraId="06984F8E" w14:textId="77777777" w:rsidR="00A671E6" w:rsidRPr="00B76F95" w:rsidRDefault="00A671E6" w:rsidP="00A671E6"/>
    <w:p w14:paraId="11E8D51E" w14:textId="00A3A537" w:rsidR="003A7B84" w:rsidRPr="00B76F95" w:rsidRDefault="00B425AA" w:rsidP="00B76F95">
      <w:pPr>
        <w:pStyle w:val="FSTitle"/>
      </w:pPr>
      <w:r w:rsidRPr="00B76F95">
        <w:t>A</w:t>
      </w:r>
      <w:r w:rsidR="00DD265C" w:rsidRPr="00B76F95">
        <w:t>pproval</w:t>
      </w:r>
      <w:r w:rsidRPr="00B76F95">
        <w:t xml:space="preserve"> </w:t>
      </w:r>
      <w:r w:rsidR="00B77C18" w:rsidRPr="00B76F95">
        <w:t>r</w:t>
      </w:r>
      <w:r w:rsidR="00DD265C" w:rsidRPr="00B76F95">
        <w:t>eport</w:t>
      </w:r>
      <w:r w:rsidRPr="00B76F95">
        <w:t xml:space="preserve"> – </w:t>
      </w:r>
      <w:r w:rsidR="00B76F95" w:rsidRPr="00B76F95">
        <w:t>Application A1109</w:t>
      </w:r>
    </w:p>
    <w:p w14:paraId="01D5C2ED" w14:textId="77777777" w:rsidR="00B76F95" w:rsidRPr="007012D1" w:rsidRDefault="00B76F95" w:rsidP="00B76F95">
      <w:pPr>
        <w:pStyle w:val="FSTitle"/>
        <w:rPr>
          <w:sz w:val="22"/>
        </w:rPr>
      </w:pPr>
    </w:p>
    <w:p w14:paraId="5FB6A5F3" w14:textId="5CB879D3" w:rsidR="003A7B84" w:rsidRPr="00B76F95" w:rsidRDefault="00B76F95" w:rsidP="00871116">
      <w:pPr>
        <w:pBdr>
          <w:bottom w:val="single" w:sz="12" w:space="1" w:color="auto"/>
        </w:pBdr>
        <w:tabs>
          <w:tab w:val="left" w:pos="1140"/>
        </w:tabs>
        <w:rPr>
          <w:rFonts w:cs="Tahoma"/>
          <w:bCs/>
          <w:sz w:val="32"/>
        </w:rPr>
      </w:pPr>
      <w:r w:rsidRPr="00B76F95">
        <w:rPr>
          <w:rFonts w:cs="Tahoma"/>
          <w:bCs/>
          <w:sz w:val="32"/>
        </w:rPr>
        <w:t xml:space="preserve">Glutaminase from </w:t>
      </w:r>
      <w:r w:rsidRPr="00B76F95">
        <w:rPr>
          <w:rFonts w:cs="Tahoma"/>
          <w:bCs/>
          <w:i/>
          <w:sz w:val="32"/>
        </w:rPr>
        <w:t>Bacillus amyloliquefaciens</w:t>
      </w:r>
      <w:r w:rsidRPr="00B76F95">
        <w:rPr>
          <w:rFonts w:cs="Tahoma"/>
          <w:bCs/>
          <w:sz w:val="32"/>
        </w:rPr>
        <w:t xml:space="preserve"> as a Processing Aid (Enzyme)</w:t>
      </w:r>
    </w:p>
    <w:p w14:paraId="41AB1E5C" w14:textId="77777777" w:rsidR="00B76F95" w:rsidRPr="00E327A6" w:rsidRDefault="00B76F95" w:rsidP="00871116">
      <w:pPr>
        <w:pBdr>
          <w:bottom w:val="single" w:sz="12" w:space="1" w:color="auto"/>
        </w:pBdr>
        <w:tabs>
          <w:tab w:val="left" w:pos="1140"/>
        </w:tabs>
        <w:rPr>
          <w:rFonts w:cs="Arial"/>
          <w:bCs/>
        </w:rPr>
      </w:pPr>
    </w:p>
    <w:p w14:paraId="7D0936FC" w14:textId="77777777" w:rsidR="003A7B84" w:rsidRPr="00E327A6" w:rsidRDefault="003A7B84" w:rsidP="003A7B84"/>
    <w:p w14:paraId="4A88BEC5" w14:textId="75DAC019" w:rsidR="00CA5734" w:rsidRPr="00B76F95" w:rsidRDefault="000F3CFE" w:rsidP="00CA5734">
      <w:r>
        <w:t>Food Standards Australia New Zealand (FSANZ) has</w:t>
      </w:r>
      <w:r w:rsidR="00081B0A">
        <w:t xml:space="preserve"> assessed </w:t>
      </w:r>
      <w:r w:rsidR="00081B0A" w:rsidRPr="00B76F95">
        <w:t xml:space="preserve">an </w:t>
      </w:r>
      <w:r w:rsidR="00B76F95" w:rsidRPr="00B76F95">
        <w:t xml:space="preserve">Application made by Amano Enzyme Inc. to </w:t>
      </w:r>
      <w:r w:rsidR="00B76F95">
        <w:t>p</w:t>
      </w:r>
      <w:r w:rsidR="00B76F95" w:rsidRPr="00B76F95">
        <w:t xml:space="preserve">ermit glutaminase sourced from </w:t>
      </w:r>
      <w:r w:rsidR="00B76F95" w:rsidRPr="00B76F95">
        <w:rPr>
          <w:i/>
        </w:rPr>
        <w:t>Bacillus amyloliquefaciens</w:t>
      </w:r>
      <w:r w:rsidR="00B76F95" w:rsidRPr="00B76F95">
        <w:t xml:space="preserve"> as a processing aid in the production of certain seasoning ingredients or food products used as seasonings.</w:t>
      </w:r>
    </w:p>
    <w:p w14:paraId="3114784D" w14:textId="77777777" w:rsidR="00B76F95" w:rsidRDefault="00B76F95" w:rsidP="00CA5734"/>
    <w:p w14:paraId="7B0B6A1F" w14:textId="75CEDE25" w:rsidR="00081B0A" w:rsidRDefault="00EB47D2" w:rsidP="00CA5734">
      <w:r>
        <w:t xml:space="preserve">On 18 January 2016, </w:t>
      </w:r>
      <w:r w:rsidR="00081B0A">
        <w:t xml:space="preserve">FSANZ sought </w:t>
      </w:r>
      <w:r w:rsidR="003A7B84">
        <w:t xml:space="preserve">submissions </w:t>
      </w:r>
      <w:r w:rsidR="00A671E6">
        <w:t xml:space="preserve">on </w:t>
      </w:r>
      <w:r w:rsidR="00F526BD">
        <w:t xml:space="preserve">a draft </w:t>
      </w:r>
      <w:r>
        <w:t xml:space="preserve">variation </w:t>
      </w:r>
      <w:r w:rsidR="003A7B84">
        <w:t xml:space="preserve">and published an </w:t>
      </w:r>
      <w:r w:rsidR="00EC21DF">
        <w:t>associated r</w:t>
      </w:r>
      <w:r w:rsidR="003A7B84">
        <w:t>eport</w:t>
      </w:r>
      <w:r w:rsidR="00081B0A">
        <w:t>.</w:t>
      </w:r>
      <w:r w:rsidR="00F526BD">
        <w:t xml:space="preserve"> FSANZ received</w:t>
      </w:r>
      <w:r>
        <w:t xml:space="preserve"> three</w:t>
      </w:r>
      <w:r w:rsidR="00F526BD">
        <w:t xml:space="preserve"> submissions.</w:t>
      </w:r>
    </w:p>
    <w:p w14:paraId="7FF3304D" w14:textId="77777777" w:rsidR="00CA5734" w:rsidRDefault="00CA5734" w:rsidP="00CA5734"/>
    <w:p w14:paraId="4F6FF574" w14:textId="77777777" w:rsidR="00A877EF" w:rsidRPr="00842A10" w:rsidRDefault="00A877EF" w:rsidP="00A877EF">
      <w:r w:rsidRPr="00842A10">
        <w:rPr>
          <w:szCs w:val="22"/>
        </w:rPr>
        <w:t>FSANZ approved the draft variation</w:t>
      </w:r>
      <w:r w:rsidRPr="00842A10">
        <w:t xml:space="preserve"> on 4 May 2016. The </w:t>
      </w:r>
      <w:r w:rsidRPr="00842A10">
        <w:rPr>
          <w:rFonts w:cs="Helvetica"/>
        </w:rPr>
        <w:t xml:space="preserve">Australia and New Zealand Ministerial Forum on Food </w:t>
      </w:r>
      <w:r w:rsidRPr="00842A10">
        <w:rPr>
          <w:rFonts w:cs="Arial"/>
        </w:rPr>
        <w:t>Regulation</w:t>
      </w:r>
      <w:r w:rsidRPr="00842A10">
        <w:rPr>
          <w:rFonts w:cs="Helvetica"/>
        </w:rPr>
        <w:t xml:space="preserve"> </w:t>
      </w:r>
      <w:r w:rsidRPr="00842A10">
        <w:rPr>
          <w:rFonts w:cs="Arial"/>
        </w:rPr>
        <w:t>(Forum)</w:t>
      </w:r>
      <w:r w:rsidRPr="00842A10">
        <w:t xml:space="preserve"> was notified of FSANZ’s decision on </w:t>
      </w:r>
    </w:p>
    <w:p w14:paraId="15283B2F" w14:textId="77777777" w:rsidR="00A877EF" w:rsidRPr="00842A10" w:rsidRDefault="00A877EF" w:rsidP="00A877EF">
      <w:r w:rsidRPr="00842A10">
        <w:t>17 May 2016</w:t>
      </w:r>
      <w:r>
        <w:t>.</w:t>
      </w:r>
    </w:p>
    <w:p w14:paraId="69221359" w14:textId="77777777" w:rsidR="00CA5734" w:rsidRDefault="00CA5734" w:rsidP="00CA5734"/>
    <w:p w14:paraId="5B4D3A9C" w14:textId="24DD8927" w:rsidR="00081B0A" w:rsidRDefault="003A7B84" w:rsidP="00292B9B">
      <w:r>
        <w:t>This R</w:t>
      </w:r>
      <w:r w:rsidR="00B425AA">
        <w:t xml:space="preserve">eport is provided pursuant to </w:t>
      </w:r>
      <w:r w:rsidR="009A2699" w:rsidRPr="00EB47D2">
        <w:t>paragraph</w:t>
      </w:r>
      <w:r w:rsidR="00081B0A" w:rsidRPr="00EB47D2">
        <w:t xml:space="preserve"> 33(1)(b) of </w:t>
      </w:r>
      <w:r w:rsidR="00081B0A">
        <w:t xml:space="preserve">the </w:t>
      </w:r>
      <w:r w:rsidR="00081B0A" w:rsidRPr="0012388D">
        <w:rPr>
          <w:i/>
        </w:rPr>
        <w:t>Food Standards Australia New Zealand Act 1991</w:t>
      </w:r>
      <w:r w:rsidR="00081B0A">
        <w:t xml:space="preserve"> (the FSANZ Act).</w:t>
      </w:r>
    </w:p>
    <w:p w14:paraId="3CCE677C" w14:textId="77777777" w:rsidR="00F526BD" w:rsidRDefault="00F526BD" w:rsidP="00A671E6"/>
    <w:p w14:paraId="5564E0B4" w14:textId="77777777" w:rsidR="00EB6590" w:rsidRDefault="00EB6590" w:rsidP="00F526BD"/>
    <w:p w14:paraId="1A0D3F5F" w14:textId="77777777" w:rsidR="00A671E6" w:rsidRDefault="00A671E6" w:rsidP="00CC5468">
      <w:pPr>
        <w:sectPr w:rsidR="00A671E6" w:rsidSect="00EB576F">
          <w:headerReference w:type="default" r:id="rId15"/>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0944DB2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198577D" w14:textId="77777777" w:rsidR="00CE59AA" w:rsidRPr="00346622" w:rsidRDefault="00CE59AA" w:rsidP="00CE59AA">
      <w:pPr>
        <w:rPr>
          <w:rFonts w:cs="Arial"/>
          <w:sz w:val="20"/>
          <w:szCs w:val="20"/>
        </w:rPr>
      </w:pPr>
    </w:p>
    <w:p w14:paraId="60CA782A" w14:textId="77777777" w:rsidR="0006394C" w:rsidRPr="00A877EF"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A877EF">
        <w:rPr>
          <w:rFonts w:ascii="Arial" w:hAnsi="Arial" w:cs="Arial"/>
          <w:b w:val="0"/>
          <w:bCs w:val="0"/>
          <w:caps w:val="0"/>
          <w:smallCaps/>
        </w:rPr>
        <w:fldChar w:fldCharType="begin"/>
      </w:r>
      <w:r w:rsidRPr="00A877EF">
        <w:rPr>
          <w:rFonts w:ascii="Arial" w:hAnsi="Arial" w:cs="Arial"/>
        </w:rPr>
        <w:instrText xml:space="preserve"> TOC \h \z \t "Heading 1,1,Heading 2,2,Heading 3,3" </w:instrText>
      </w:r>
      <w:r w:rsidRPr="00A877EF">
        <w:rPr>
          <w:rFonts w:ascii="Arial" w:hAnsi="Arial" w:cs="Arial"/>
          <w:b w:val="0"/>
          <w:bCs w:val="0"/>
          <w:caps w:val="0"/>
          <w:smallCaps/>
        </w:rPr>
        <w:fldChar w:fldCharType="separate"/>
      </w:r>
      <w:hyperlink w:anchor="_Toc447109106" w:history="1">
        <w:r w:rsidR="0006394C" w:rsidRPr="00A877EF">
          <w:rPr>
            <w:rStyle w:val="Hyperlink"/>
            <w:rFonts w:ascii="Arial" w:hAnsi="Arial" w:cs="Arial"/>
            <w:noProof/>
          </w:rPr>
          <w:t>Executive summary</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_Toc447109106 \h </w:instrText>
        </w:r>
        <w:r w:rsidR="0006394C" w:rsidRPr="00A877EF">
          <w:rPr>
            <w:rFonts w:ascii="Arial" w:hAnsi="Arial" w:cs="Arial"/>
            <w:noProof/>
            <w:webHidden/>
          </w:rPr>
        </w:r>
        <w:r w:rsidR="0006394C" w:rsidRPr="00A877EF">
          <w:rPr>
            <w:rFonts w:ascii="Arial" w:hAnsi="Arial" w:cs="Arial"/>
            <w:noProof/>
            <w:webHidden/>
          </w:rPr>
          <w:fldChar w:fldCharType="separate"/>
        </w:r>
        <w:r w:rsidR="003F3256">
          <w:rPr>
            <w:rFonts w:ascii="Arial" w:hAnsi="Arial" w:cs="Arial"/>
            <w:noProof/>
            <w:webHidden/>
          </w:rPr>
          <w:t>2</w:t>
        </w:r>
        <w:r w:rsidR="0006394C" w:rsidRPr="00A877EF">
          <w:rPr>
            <w:rFonts w:ascii="Arial" w:hAnsi="Arial" w:cs="Arial"/>
            <w:noProof/>
            <w:webHidden/>
          </w:rPr>
          <w:fldChar w:fldCharType="end"/>
        </w:r>
      </w:hyperlink>
    </w:p>
    <w:p w14:paraId="5270BC59" w14:textId="77777777" w:rsidR="0006394C" w:rsidRPr="00A877EF" w:rsidRDefault="003F325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109107" w:history="1">
        <w:r w:rsidR="0006394C" w:rsidRPr="00A877EF">
          <w:rPr>
            <w:rStyle w:val="Hyperlink"/>
            <w:rFonts w:ascii="Arial" w:hAnsi="Arial" w:cs="Arial"/>
            <w:noProof/>
          </w:rPr>
          <w:t>1</w:t>
        </w:r>
        <w:r w:rsidR="0006394C" w:rsidRPr="00A877EF">
          <w:rPr>
            <w:rFonts w:ascii="Arial" w:eastAsiaTheme="minorEastAsia" w:hAnsi="Arial" w:cs="Arial"/>
            <w:b w:val="0"/>
            <w:bCs w:val="0"/>
            <w:caps w:val="0"/>
            <w:noProof/>
            <w:sz w:val="22"/>
            <w:szCs w:val="22"/>
            <w:lang w:eastAsia="en-GB" w:bidi="ar-SA"/>
          </w:rPr>
          <w:tab/>
        </w:r>
        <w:r w:rsidR="0006394C" w:rsidRPr="00A877EF">
          <w:rPr>
            <w:rStyle w:val="Hyperlink"/>
            <w:rFonts w:ascii="Arial" w:hAnsi="Arial" w:cs="Arial"/>
            <w:noProof/>
          </w:rPr>
          <w:t>Introduction</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_Toc447109107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3</w:t>
        </w:r>
        <w:r w:rsidR="0006394C" w:rsidRPr="00A877EF">
          <w:rPr>
            <w:rFonts w:ascii="Arial" w:hAnsi="Arial" w:cs="Arial"/>
            <w:noProof/>
            <w:webHidden/>
          </w:rPr>
          <w:fldChar w:fldCharType="end"/>
        </w:r>
      </w:hyperlink>
    </w:p>
    <w:p w14:paraId="49F67B0C"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08" w:history="1">
        <w:r w:rsidR="0006394C" w:rsidRPr="00A877EF">
          <w:rPr>
            <w:rStyle w:val="Hyperlink"/>
            <w:rFonts w:ascii="Arial" w:hAnsi="Arial" w:cs="Arial"/>
            <w:noProof/>
          </w:rPr>
          <w:t>1.1</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The Applicant</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_Toc447109108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3</w:t>
        </w:r>
        <w:r w:rsidR="0006394C" w:rsidRPr="00A877EF">
          <w:rPr>
            <w:rFonts w:ascii="Arial" w:hAnsi="Arial" w:cs="Arial"/>
            <w:noProof/>
            <w:webHidden/>
          </w:rPr>
          <w:fldChar w:fldCharType="end"/>
        </w:r>
      </w:hyperlink>
    </w:p>
    <w:p w14:paraId="0FDB5799"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09" w:history="1">
        <w:r w:rsidR="0006394C" w:rsidRPr="00A877EF">
          <w:rPr>
            <w:rStyle w:val="Hyperlink"/>
            <w:rFonts w:ascii="Arial" w:hAnsi="Arial" w:cs="Arial"/>
            <w:noProof/>
          </w:rPr>
          <w:t>1.2</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The Application</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_Toc447109109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3</w:t>
        </w:r>
        <w:r w:rsidR="0006394C" w:rsidRPr="00A877EF">
          <w:rPr>
            <w:rFonts w:ascii="Arial" w:hAnsi="Arial" w:cs="Arial"/>
            <w:noProof/>
            <w:webHidden/>
          </w:rPr>
          <w:fldChar w:fldCharType="end"/>
        </w:r>
      </w:hyperlink>
    </w:p>
    <w:p w14:paraId="6CBC530F"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10" w:history="1">
        <w:r w:rsidR="0006394C" w:rsidRPr="00A877EF">
          <w:rPr>
            <w:rStyle w:val="Hyperlink"/>
            <w:rFonts w:ascii="Arial" w:hAnsi="Arial" w:cs="Arial"/>
            <w:noProof/>
          </w:rPr>
          <w:t>1.3</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The current Standard</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_Toc447109110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3</w:t>
        </w:r>
        <w:r w:rsidR="0006394C" w:rsidRPr="00A877EF">
          <w:rPr>
            <w:rFonts w:ascii="Arial" w:hAnsi="Arial" w:cs="Arial"/>
            <w:noProof/>
            <w:webHidden/>
          </w:rPr>
          <w:fldChar w:fldCharType="end"/>
        </w:r>
      </w:hyperlink>
    </w:p>
    <w:p w14:paraId="0FCB556C"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11" w:history="1">
        <w:r w:rsidR="0006394C" w:rsidRPr="00A877EF">
          <w:rPr>
            <w:rStyle w:val="Hyperlink"/>
            <w:rFonts w:ascii="Arial" w:hAnsi="Arial" w:cs="Arial"/>
            <w:noProof/>
            <w:u w:color="FFFF00"/>
          </w:rPr>
          <w:t>1.4</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u w:color="FFFF00"/>
          </w:rPr>
          <w:t>Reasons for accepting Application</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_Toc447109111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4</w:t>
        </w:r>
        <w:r w:rsidR="0006394C" w:rsidRPr="00A877EF">
          <w:rPr>
            <w:rFonts w:ascii="Arial" w:hAnsi="Arial" w:cs="Arial"/>
            <w:noProof/>
            <w:webHidden/>
          </w:rPr>
          <w:fldChar w:fldCharType="end"/>
        </w:r>
      </w:hyperlink>
    </w:p>
    <w:p w14:paraId="0698C42A"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12" w:history="1">
        <w:r w:rsidR="0006394C" w:rsidRPr="00A877EF">
          <w:rPr>
            <w:rStyle w:val="Hyperlink"/>
            <w:rFonts w:ascii="Arial" w:hAnsi="Arial" w:cs="Arial"/>
            <w:noProof/>
          </w:rPr>
          <w:t>1.5</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Procedure for assessment</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_Toc447109112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4</w:t>
        </w:r>
        <w:r w:rsidR="0006394C" w:rsidRPr="00A877EF">
          <w:rPr>
            <w:rFonts w:ascii="Arial" w:hAnsi="Arial" w:cs="Arial"/>
            <w:noProof/>
            <w:webHidden/>
          </w:rPr>
          <w:fldChar w:fldCharType="end"/>
        </w:r>
      </w:hyperlink>
    </w:p>
    <w:p w14:paraId="2DAA2E04" w14:textId="77777777" w:rsidR="0006394C" w:rsidRPr="00A877EF" w:rsidRDefault="003F325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109113" w:history="1">
        <w:r w:rsidR="0006394C" w:rsidRPr="00A877EF">
          <w:rPr>
            <w:rStyle w:val="Hyperlink"/>
            <w:rFonts w:ascii="Arial" w:hAnsi="Arial" w:cs="Arial"/>
            <w:noProof/>
          </w:rPr>
          <w:t>2</w:t>
        </w:r>
        <w:r w:rsidR="0006394C" w:rsidRPr="00A877EF">
          <w:rPr>
            <w:rFonts w:ascii="Arial" w:eastAsiaTheme="minorEastAsia" w:hAnsi="Arial" w:cs="Arial"/>
            <w:b w:val="0"/>
            <w:bCs w:val="0"/>
            <w:caps w:val="0"/>
            <w:noProof/>
            <w:sz w:val="22"/>
            <w:szCs w:val="22"/>
            <w:lang w:eastAsia="en-GB" w:bidi="ar-SA"/>
          </w:rPr>
          <w:tab/>
        </w:r>
        <w:r w:rsidR="0006394C" w:rsidRPr="00A877EF">
          <w:rPr>
            <w:rStyle w:val="Hyperlink"/>
            <w:rFonts w:ascii="Arial" w:hAnsi="Arial" w:cs="Arial"/>
            <w:noProof/>
          </w:rPr>
          <w:t xml:space="preserve">Summary </w:t>
        </w:r>
        <w:r w:rsidR="0006394C" w:rsidRPr="00A877EF">
          <w:rPr>
            <w:rStyle w:val="Hyperlink"/>
            <w:rFonts w:ascii="Arial" w:hAnsi="Arial" w:cs="Arial"/>
            <w:noProof/>
            <w:u w:color="FFFF00"/>
          </w:rPr>
          <w:t>of</w:t>
        </w:r>
        <w:r w:rsidR="0006394C" w:rsidRPr="00A877EF">
          <w:rPr>
            <w:rStyle w:val="Hyperlink"/>
            <w:rFonts w:ascii="Arial" w:hAnsi="Arial" w:cs="Arial"/>
            <w:noProof/>
          </w:rPr>
          <w:t xml:space="preserve"> the findings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_Toc447109113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4</w:t>
        </w:r>
        <w:r w:rsidR="0006394C" w:rsidRPr="00A877EF">
          <w:rPr>
            <w:rFonts w:ascii="Arial" w:hAnsi="Arial" w:cs="Arial"/>
            <w:noProof/>
            <w:webHidden/>
          </w:rPr>
          <w:fldChar w:fldCharType="end"/>
        </w:r>
      </w:hyperlink>
    </w:p>
    <w:p w14:paraId="74B4101D"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14" w:history="1">
        <w:r w:rsidR="0006394C" w:rsidRPr="00A877EF">
          <w:rPr>
            <w:rStyle w:val="Hyperlink"/>
            <w:rFonts w:ascii="Arial" w:hAnsi="Arial" w:cs="Arial"/>
            <w:noProof/>
          </w:rPr>
          <w:t>2.1</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Summary of issues raised in submissions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_Toc447109114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4</w:t>
        </w:r>
        <w:r w:rsidR="0006394C" w:rsidRPr="00A877EF">
          <w:rPr>
            <w:rFonts w:ascii="Arial" w:hAnsi="Arial" w:cs="Arial"/>
            <w:noProof/>
            <w:webHidden/>
          </w:rPr>
          <w:fldChar w:fldCharType="end"/>
        </w:r>
      </w:hyperlink>
    </w:p>
    <w:p w14:paraId="3ADB1F5F"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15" w:history="1">
        <w:r w:rsidR="0006394C" w:rsidRPr="00A877EF">
          <w:rPr>
            <w:rStyle w:val="Hyperlink"/>
            <w:rFonts w:ascii="Arial" w:hAnsi="Arial" w:cs="Arial"/>
            <w:noProof/>
          </w:rPr>
          <w:t>2.2</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Risk assessment</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_Toc447109115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4</w:t>
        </w:r>
        <w:r w:rsidR="0006394C" w:rsidRPr="00A877EF">
          <w:rPr>
            <w:rFonts w:ascii="Arial" w:hAnsi="Arial" w:cs="Arial"/>
            <w:noProof/>
            <w:webHidden/>
          </w:rPr>
          <w:fldChar w:fldCharType="end"/>
        </w:r>
      </w:hyperlink>
    </w:p>
    <w:p w14:paraId="034F5C80"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16" w:history="1">
        <w:r w:rsidR="0006394C" w:rsidRPr="00A877EF">
          <w:rPr>
            <w:rStyle w:val="Hyperlink"/>
            <w:rFonts w:ascii="Arial" w:hAnsi="Arial" w:cs="Arial"/>
            <w:noProof/>
          </w:rPr>
          <w:t>2.3</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Risk management</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_Toc447109116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5</w:t>
        </w:r>
        <w:r w:rsidR="0006394C" w:rsidRPr="00A877EF">
          <w:rPr>
            <w:rFonts w:ascii="Arial" w:hAnsi="Arial" w:cs="Arial"/>
            <w:noProof/>
            <w:webHidden/>
          </w:rPr>
          <w:fldChar w:fldCharType="end"/>
        </w:r>
      </w:hyperlink>
    </w:p>
    <w:p w14:paraId="169C5DF0"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17" w:history="1">
        <w:r w:rsidR="0006394C" w:rsidRPr="00A877EF">
          <w:rPr>
            <w:rStyle w:val="Hyperlink"/>
            <w:rFonts w:ascii="Arial" w:hAnsi="Arial" w:cs="Arial"/>
            <w:noProof/>
          </w:rPr>
          <w:t>2.3.1</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International standards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_Toc447109117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5</w:t>
        </w:r>
        <w:r w:rsidR="0006394C" w:rsidRPr="00A877EF">
          <w:rPr>
            <w:rFonts w:ascii="Arial" w:hAnsi="Arial" w:cs="Arial"/>
            <w:noProof/>
            <w:webHidden/>
          </w:rPr>
          <w:fldChar w:fldCharType="end"/>
        </w:r>
      </w:hyperlink>
    </w:p>
    <w:p w14:paraId="07CC85F4"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18" w:history="1">
        <w:r w:rsidR="0006394C" w:rsidRPr="00A877EF">
          <w:rPr>
            <w:rStyle w:val="Hyperlink"/>
            <w:rFonts w:ascii="Arial" w:hAnsi="Arial" w:cs="Arial"/>
            <w:noProof/>
          </w:rPr>
          <w:t>2.3.2</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Enzyme nomenclature</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_Toc447109118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6</w:t>
        </w:r>
        <w:r w:rsidR="0006394C" w:rsidRPr="00A877EF">
          <w:rPr>
            <w:rFonts w:ascii="Arial" w:hAnsi="Arial" w:cs="Arial"/>
            <w:noProof/>
            <w:webHidden/>
          </w:rPr>
          <w:fldChar w:fldCharType="end"/>
        </w:r>
      </w:hyperlink>
    </w:p>
    <w:p w14:paraId="4C3B89E0"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19" w:history="1">
        <w:r w:rsidR="0006394C" w:rsidRPr="00A877EF">
          <w:rPr>
            <w:rStyle w:val="Hyperlink"/>
            <w:rFonts w:ascii="Arial" w:hAnsi="Arial" w:cs="Arial"/>
            <w:noProof/>
          </w:rPr>
          <w:t>2.3.3</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Labelling considerations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_Toc447109119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6</w:t>
        </w:r>
        <w:r w:rsidR="0006394C" w:rsidRPr="00A877EF">
          <w:rPr>
            <w:rFonts w:ascii="Arial" w:hAnsi="Arial" w:cs="Arial"/>
            <w:noProof/>
            <w:webHidden/>
          </w:rPr>
          <w:fldChar w:fldCharType="end"/>
        </w:r>
      </w:hyperlink>
    </w:p>
    <w:p w14:paraId="232544F9"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20" w:history="1">
        <w:r w:rsidR="0006394C" w:rsidRPr="00A877EF">
          <w:rPr>
            <w:rStyle w:val="Hyperlink"/>
            <w:rFonts w:ascii="Arial" w:hAnsi="Arial" w:cs="Arial"/>
            <w:noProof/>
          </w:rPr>
          <w:t>2.3.4</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Cost benefit analysis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_Toc447109120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6</w:t>
        </w:r>
        <w:r w:rsidR="0006394C" w:rsidRPr="00A877EF">
          <w:rPr>
            <w:rFonts w:ascii="Arial" w:hAnsi="Arial" w:cs="Arial"/>
            <w:noProof/>
            <w:webHidden/>
          </w:rPr>
          <w:fldChar w:fldCharType="end"/>
        </w:r>
      </w:hyperlink>
    </w:p>
    <w:p w14:paraId="67D3BBD4"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21" w:history="1">
        <w:r w:rsidR="0006394C" w:rsidRPr="00A877EF">
          <w:rPr>
            <w:rStyle w:val="Hyperlink"/>
            <w:rFonts w:ascii="Arial" w:hAnsi="Arial" w:cs="Arial"/>
            <w:noProof/>
          </w:rPr>
          <w:t>2.3.5</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Risk management conclusion</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_Toc447109121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7</w:t>
        </w:r>
        <w:r w:rsidR="0006394C" w:rsidRPr="00A877EF">
          <w:rPr>
            <w:rFonts w:ascii="Arial" w:hAnsi="Arial" w:cs="Arial"/>
            <w:noProof/>
            <w:webHidden/>
          </w:rPr>
          <w:fldChar w:fldCharType="end"/>
        </w:r>
      </w:hyperlink>
    </w:p>
    <w:p w14:paraId="40D996C5" w14:textId="77777777" w:rsidR="0006394C" w:rsidRPr="00A877EF" w:rsidRDefault="003F325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109122" w:history="1">
        <w:r w:rsidR="0006394C" w:rsidRPr="00A877EF">
          <w:rPr>
            <w:rStyle w:val="Hyperlink"/>
            <w:rFonts w:ascii="Arial" w:hAnsi="Arial" w:cs="Arial"/>
            <w:noProof/>
          </w:rPr>
          <w:t>3</w:t>
        </w:r>
        <w:r w:rsidR="0006394C" w:rsidRPr="00A877EF">
          <w:rPr>
            <w:rFonts w:ascii="Arial" w:eastAsiaTheme="minorEastAsia" w:hAnsi="Arial" w:cs="Arial"/>
            <w:b w:val="0"/>
            <w:bCs w:val="0"/>
            <w:caps w:val="0"/>
            <w:noProof/>
            <w:sz w:val="22"/>
            <w:szCs w:val="22"/>
            <w:lang w:eastAsia="en-GB" w:bidi="ar-SA"/>
          </w:rPr>
          <w:tab/>
        </w:r>
        <w:r w:rsidR="0006394C" w:rsidRPr="00A877EF">
          <w:rPr>
            <w:rStyle w:val="Hyperlink"/>
            <w:rFonts w:ascii="Arial" w:hAnsi="Arial" w:cs="Arial"/>
            <w:noProof/>
          </w:rPr>
          <w:t>Decision</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_Toc447109122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7</w:t>
        </w:r>
        <w:r w:rsidR="0006394C" w:rsidRPr="00A877EF">
          <w:rPr>
            <w:rFonts w:ascii="Arial" w:hAnsi="Arial" w:cs="Arial"/>
            <w:noProof/>
            <w:webHidden/>
          </w:rPr>
          <w:fldChar w:fldCharType="end"/>
        </w:r>
      </w:hyperlink>
    </w:p>
    <w:p w14:paraId="7679ECD6" w14:textId="77777777" w:rsidR="0006394C" w:rsidRPr="00A877EF" w:rsidRDefault="003F325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109123" w:history="1">
        <w:r w:rsidR="0006394C" w:rsidRPr="00A877EF">
          <w:rPr>
            <w:rStyle w:val="Hyperlink"/>
            <w:rFonts w:ascii="Arial" w:hAnsi="Arial" w:cs="Arial"/>
            <w:noProof/>
          </w:rPr>
          <w:t>4</w:t>
        </w:r>
        <w:r w:rsidR="0006394C" w:rsidRPr="00A877EF">
          <w:rPr>
            <w:rFonts w:ascii="Arial" w:eastAsiaTheme="minorEastAsia" w:hAnsi="Arial" w:cs="Arial"/>
            <w:b w:val="0"/>
            <w:bCs w:val="0"/>
            <w:caps w:val="0"/>
            <w:noProof/>
            <w:sz w:val="22"/>
            <w:szCs w:val="22"/>
            <w:lang w:eastAsia="en-GB" w:bidi="ar-SA"/>
          </w:rPr>
          <w:tab/>
        </w:r>
        <w:r w:rsidR="0006394C" w:rsidRPr="00A877EF">
          <w:rPr>
            <w:rStyle w:val="Hyperlink"/>
            <w:rFonts w:ascii="Arial" w:hAnsi="Arial" w:cs="Arial"/>
            <w:noProof/>
          </w:rPr>
          <w:t>Risk communication</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_Toc447109123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7</w:t>
        </w:r>
        <w:r w:rsidR="0006394C" w:rsidRPr="00A877EF">
          <w:rPr>
            <w:rFonts w:ascii="Arial" w:hAnsi="Arial" w:cs="Arial"/>
            <w:noProof/>
            <w:webHidden/>
          </w:rPr>
          <w:fldChar w:fldCharType="end"/>
        </w:r>
      </w:hyperlink>
    </w:p>
    <w:p w14:paraId="3E7FD5D0"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24" w:history="1">
        <w:r w:rsidR="0006394C" w:rsidRPr="00A877EF">
          <w:rPr>
            <w:rStyle w:val="Hyperlink"/>
            <w:rFonts w:ascii="Arial" w:hAnsi="Arial" w:cs="Arial"/>
            <w:noProof/>
          </w:rPr>
          <w:t>4.1</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Consultation</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_Toc447109124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7</w:t>
        </w:r>
        <w:r w:rsidR="0006394C" w:rsidRPr="00A877EF">
          <w:rPr>
            <w:rFonts w:ascii="Arial" w:hAnsi="Arial" w:cs="Arial"/>
            <w:noProof/>
            <w:webHidden/>
          </w:rPr>
          <w:fldChar w:fldCharType="end"/>
        </w:r>
      </w:hyperlink>
    </w:p>
    <w:p w14:paraId="493A6102" w14:textId="77777777" w:rsidR="0006394C" w:rsidRPr="00A877EF" w:rsidRDefault="003F325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109125" w:history="1">
        <w:r w:rsidR="0006394C" w:rsidRPr="00A877EF">
          <w:rPr>
            <w:rStyle w:val="Hyperlink"/>
            <w:rFonts w:ascii="Arial" w:hAnsi="Arial" w:cs="Arial"/>
            <w:noProof/>
          </w:rPr>
          <w:t>5</w:t>
        </w:r>
        <w:r w:rsidR="0006394C" w:rsidRPr="00A877EF">
          <w:rPr>
            <w:rFonts w:ascii="Arial" w:eastAsiaTheme="minorEastAsia" w:hAnsi="Arial" w:cs="Arial"/>
            <w:b w:val="0"/>
            <w:bCs w:val="0"/>
            <w:caps w:val="0"/>
            <w:noProof/>
            <w:sz w:val="22"/>
            <w:szCs w:val="22"/>
            <w:lang w:eastAsia="en-GB" w:bidi="ar-SA"/>
          </w:rPr>
          <w:tab/>
        </w:r>
        <w:r w:rsidR="0006394C" w:rsidRPr="00A877EF">
          <w:rPr>
            <w:rStyle w:val="Hyperlink"/>
            <w:rFonts w:ascii="Arial" w:hAnsi="Arial" w:cs="Arial"/>
            <w:noProof/>
          </w:rPr>
          <w:t>FSANZ Act assessment requirements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_Toc447109125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5FA85866"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26" w:history="1">
        <w:r w:rsidR="0006394C" w:rsidRPr="00A877EF">
          <w:rPr>
            <w:rStyle w:val="Hyperlink"/>
            <w:rFonts w:ascii="Arial" w:hAnsi="Arial" w:cs="Arial"/>
            <w:noProof/>
          </w:rPr>
          <w:t>5.1</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Section 29</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_Toc447109126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5854369E"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27" w:history="1">
        <w:r w:rsidR="0006394C" w:rsidRPr="00A877EF">
          <w:rPr>
            <w:rStyle w:val="Hyperlink"/>
            <w:rFonts w:ascii="Arial" w:hAnsi="Arial" w:cs="Arial"/>
            <w:noProof/>
          </w:rPr>
          <w:t>5.1.1</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Cost benefit analysis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_Toc447109127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31C02504"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28" w:history="1">
        <w:r w:rsidR="0006394C" w:rsidRPr="00A877EF">
          <w:rPr>
            <w:rStyle w:val="Hyperlink"/>
            <w:rFonts w:ascii="Arial" w:hAnsi="Arial" w:cs="Arial"/>
            <w:noProof/>
          </w:rPr>
          <w:t>5.1.2</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Other measures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_Toc447109128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3358C739"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29" w:history="1">
        <w:r w:rsidR="0006394C" w:rsidRPr="00A877EF">
          <w:rPr>
            <w:rStyle w:val="Hyperlink"/>
            <w:rFonts w:ascii="Arial" w:hAnsi="Arial" w:cs="Arial"/>
            <w:noProof/>
          </w:rPr>
          <w:t>5.1.3</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Any relevant New Zealand standards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_Toc447109129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6FDF9518"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30" w:history="1">
        <w:r w:rsidR="0006394C" w:rsidRPr="00A877EF">
          <w:rPr>
            <w:rStyle w:val="Hyperlink"/>
            <w:rFonts w:ascii="Arial" w:hAnsi="Arial" w:cs="Arial"/>
            <w:noProof/>
          </w:rPr>
          <w:t>5.1.4</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Any other relevant matters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_Toc447109130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6F67AD2E"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31" w:history="1">
        <w:r w:rsidR="0006394C" w:rsidRPr="00A877EF">
          <w:rPr>
            <w:rStyle w:val="Hyperlink"/>
            <w:rFonts w:ascii="Arial" w:hAnsi="Arial" w:cs="Arial"/>
            <w:noProof/>
          </w:rPr>
          <w:t>5.2</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rPr>
          <w:t>Subsection 18(1)</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_Toc447109131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776BBA77"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32" w:history="1">
        <w:r w:rsidR="0006394C" w:rsidRPr="00A877EF">
          <w:rPr>
            <w:rStyle w:val="Hyperlink"/>
            <w:rFonts w:ascii="Arial" w:hAnsi="Arial" w:cs="Arial"/>
            <w:noProof/>
          </w:rPr>
          <w:t>5.2.1</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Protection of public health and safety</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_Toc447109132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7ADD51B3"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33" w:history="1">
        <w:r w:rsidR="0006394C" w:rsidRPr="00A877EF">
          <w:rPr>
            <w:rStyle w:val="Hyperlink"/>
            <w:rFonts w:ascii="Arial" w:hAnsi="Arial" w:cs="Arial"/>
            <w:noProof/>
          </w:rPr>
          <w:t>5.2.2</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The provision of adequate information relating to food to enable consumers to make informed choices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_Toc447109133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17944494" w14:textId="77777777" w:rsidR="0006394C" w:rsidRPr="00A877EF" w:rsidRDefault="003F325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47109134" w:history="1">
        <w:r w:rsidR="0006394C" w:rsidRPr="00A877EF">
          <w:rPr>
            <w:rStyle w:val="Hyperlink"/>
            <w:rFonts w:ascii="Arial" w:hAnsi="Arial" w:cs="Arial"/>
            <w:noProof/>
          </w:rPr>
          <w:t>5.2.3</w:t>
        </w:r>
        <w:r w:rsidR="0006394C" w:rsidRPr="00A877EF">
          <w:rPr>
            <w:rFonts w:ascii="Arial" w:eastAsiaTheme="minorEastAsia" w:hAnsi="Arial" w:cs="Arial"/>
            <w:i w:val="0"/>
            <w:iCs w:val="0"/>
            <w:noProof/>
            <w:sz w:val="22"/>
            <w:szCs w:val="22"/>
            <w:lang w:eastAsia="en-GB" w:bidi="ar-SA"/>
          </w:rPr>
          <w:tab/>
        </w:r>
        <w:r w:rsidR="0006394C" w:rsidRPr="00A877EF">
          <w:rPr>
            <w:rStyle w:val="Hyperlink"/>
            <w:rFonts w:ascii="Arial" w:hAnsi="Arial" w:cs="Arial"/>
            <w:noProof/>
          </w:rPr>
          <w:t>The prevention of misleading or deceptive conduct</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_Toc447109134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2E17A1AE" w14:textId="77777777" w:rsidR="0006394C" w:rsidRPr="00A877EF" w:rsidRDefault="003F325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47109135" w:history="1">
        <w:r w:rsidR="0006394C" w:rsidRPr="00A877EF">
          <w:rPr>
            <w:rStyle w:val="Hyperlink"/>
            <w:rFonts w:ascii="Arial" w:hAnsi="Arial" w:cs="Arial"/>
            <w:noProof/>
            <w:lang w:eastAsia="en-AU"/>
          </w:rPr>
          <w:t>5.3</w:t>
        </w:r>
        <w:r w:rsidR="0006394C" w:rsidRPr="00A877EF">
          <w:rPr>
            <w:rFonts w:ascii="Arial" w:eastAsiaTheme="minorEastAsia" w:hAnsi="Arial" w:cs="Arial"/>
            <w:smallCaps w:val="0"/>
            <w:noProof/>
            <w:sz w:val="22"/>
            <w:szCs w:val="22"/>
            <w:lang w:eastAsia="en-GB" w:bidi="ar-SA"/>
          </w:rPr>
          <w:tab/>
        </w:r>
        <w:r w:rsidR="0006394C" w:rsidRPr="00A877EF">
          <w:rPr>
            <w:rStyle w:val="Hyperlink"/>
            <w:rFonts w:ascii="Arial" w:hAnsi="Arial" w:cs="Arial"/>
            <w:noProof/>
            <w:lang w:eastAsia="en-AU"/>
          </w:rPr>
          <w:t>Subsection 18(2) considerations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_Toc447109135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8</w:t>
        </w:r>
        <w:r w:rsidR="0006394C" w:rsidRPr="00A877EF">
          <w:rPr>
            <w:rFonts w:ascii="Arial" w:hAnsi="Arial" w:cs="Arial"/>
            <w:noProof/>
            <w:webHidden/>
          </w:rPr>
          <w:fldChar w:fldCharType="end"/>
        </w:r>
      </w:hyperlink>
    </w:p>
    <w:p w14:paraId="5BA267BA" w14:textId="77777777" w:rsidR="0006394C" w:rsidRPr="00A877EF" w:rsidRDefault="003F325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47109136" w:history="1">
        <w:r w:rsidR="0006394C" w:rsidRPr="00A877EF">
          <w:rPr>
            <w:rStyle w:val="Hyperlink"/>
            <w:rFonts w:ascii="Arial" w:hAnsi="Arial" w:cs="Arial"/>
            <w:noProof/>
          </w:rPr>
          <w:t>6</w:t>
        </w:r>
        <w:r w:rsidR="0006394C" w:rsidRPr="00A877EF">
          <w:rPr>
            <w:rFonts w:ascii="Arial" w:eastAsiaTheme="minorEastAsia" w:hAnsi="Arial" w:cs="Arial"/>
            <w:b w:val="0"/>
            <w:bCs w:val="0"/>
            <w:caps w:val="0"/>
            <w:noProof/>
            <w:sz w:val="22"/>
            <w:szCs w:val="22"/>
            <w:lang w:eastAsia="en-GB" w:bidi="ar-SA"/>
          </w:rPr>
          <w:tab/>
        </w:r>
        <w:r w:rsidR="0006394C" w:rsidRPr="00A877EF">
          <w:rPr>
            <w:rStyle w:val="Hyperlink"/>
            <w:rFonts w:ascii="Arial" w:hAnsi="Arial" w:cs="Arial"/>
            <w:noProof/>
          </w:rPr>
          <w:t>References</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_Toc447109136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10</w:t>
        </w:r>
        <w:r w:rsidR="0006394C" w:rsidRPr="00A877EF">
          <w:rPr>
            <w:rFonts w:ascii="Arial" w:hAnsi="Arial" w:cs="Arial"/>
            <w:noProof/>
            <w:webHidden/>
          </w:rPr>
          <w:fldChar w:fldCharType="end"/>
        </w:r>
      </w:hyperlink>
    </w:p>
    <w:p w14:paraId="00722A68" w14:textId="77777777" w:rsidR="0006394C" w:rsidRPr="00A877EF" w:rsidRDefault="003F3256">
      <w:pPr>
        <w:pStyle w:val="TOC2"/>
        <w:tabs>
          <w:tab w:val="right" w:leader="dot" w:pos="9060"/>
        </w:tabs>
        <w:rPr>
          <w:rFonts w:ascii="Arial" w:eastAsiaTheme="minorEastAsia" w:hAnsi="Arial" w:cs="Arial"/>
          <w:smallCaps w:val="0"/>
          <w:noProof/>
          <w:sz w:val="22"/>
          <w:szCs w:val="22"/>
          <w:lang w:eastAsia="en-GB" w:bidi="ar-SA"/>
        </w:rPr>
      </w:pPr>
      <w:hyperlink w:anchor="_Toc447109137" w:history="1">
        <w:r w:rsidR="0006394C" w:rsidRPr="00A877EF">
          <w:rPr>
            <w:rStyle w:val="Hyperlink"/>
            <w:rFonts w:ascii="Arial" w:hAnsi="Arial" w:cs="Arial"/>
            <w:noProof/>
          </w:rPr>
          <w:t xml:space="preserve">Attachment A – Approved draft variation to the </w:t>
        </w:r>
        <w:r w:rsidR="0006394C" w:rsidRPr="00A877EF">
          <w:rPr>
            <w:rStyle w:val="Hyperlink"/>
            <w:rFonts w:ascii="Arial" w:hAnsi="Arial" w:cs="Arial"/>
            <w:i/>
            <w:noProof/>
          </w:rPr>
          <w:t>Australia New Zealand Food Standards Code</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_Toc447109137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11</w:t>
        </w:r>
        <w:r w:rsidR="0006394C" w:rsidRPr="00A877EF">
          <w:rPr>
            <w:rFonts w:ascii="Arial" w:hAnsi="Arial" w:cs="Arial"/>
            <w:noProof/>
            <w:webHidden/>
          </w:rPr>
          <w:fldChar w:fldCharType="end"/>
        </w:r>
      </w:hyperlink>
    </w:p>
    <w:p w14:paraId="36D19779" w14:textId="77777777" w:rsidR="0006394C" w:rsidRPr="00A877EF" w:rsidRDefault="003F3256">
      <w:pPr>
        <w:pStyle w:val="TOC2"/>
        <w:tabs>
          <w:tab w:val="right" w:leader="dot" w:pos="9060"/>
        </w:tabs>
        <w:rPr>
          <w:rFonts w:ascii="Arial" w:eastAsiaTheme="minorEastAsia" w:hAnsi="Arial" w:cs="Arial"/>
          <w:smallCaps w:val="0"/>
          <w:noProof/>
          <w:sz w:val="22"/>
          <w:szCs w:val="22"/>
          <w:lang w:eastAsia="en-GB" w:bidi="ar-SA"/>
        </w:rPr>
      </w:pPr>
      <w:hyperlink w:anchor="_Toc447109138" w:history="1">
        <w:r w:rsidR="0006394C" w:rsidRPr="00A877EF">
          <w:rPr>
            <w:rStyle w:val="Hyperlink"/>
            <w:rFonts w:ascii="Arial" w:hAnsi="Arial" w:cs="Arial"/>
            <w:noProof/>
          </w:rPr>
          <w:t>Attachment B – Explanatory Statement</w:t>
        </w:r>
        <w:r w:rsidR="0006394C" w:rsidRPr="00A877EF">
          <w:rPr>
            <w:rFonts w:ascii="Arial" w:hAnsi="Arial" w:cs="Arial"/>
            <w:noProof/>
            <w:webHidden/>
          </w:rPr>
          <w:tab/>
        </w:r>
        <w:r w:rsidR="0006394C" w:rsidRPr="00A877EF">
          <w:rPr>
            <w:rFonts w:ascii="Arial" w:hAnsi="Arial" w:cs="Arial"/>
            <w:noProof/>
            <w:webHidden/>
          </w:rPr>
          <w:fldChar w:fldCharType="begin"/>
        </w:r>
        <w:r w:rsidR="0006394C" w:rsidRPr="00A877EF">
          <w:rPr>
            <w:rFonts w:ascii="Arial" w:hAnsi="Arial" w:cs="Arial"/>
            <w:noProof/>
            <w:webHidden/>
          </w:rPr>
          <w:instrText xml:space="preserve"> PAGEREF _Toc447109138 \h </w:instrText>
        </w:r>
        <w:r w:rsidR="0006394C" w:rsidRPr="00A877EF">
          <w:rPr>
            <w:rFonts w:ascii="Arial" w:hAnsi="Arial" w:cs="Arial"/>
            <w:noProof/>
            <w:webHidden/>
          </w:rPr>
        </w:r>
        <w:r w:rsidR="0006394C" w:rsidRPr="00A877EF">
          <w:rPr>
            <w:rFonts w:ascii="Arial" w:hAnsi="Arial" w:cs="Arial"/>
            <w:noProof/>
            <w:webHidden/>
          </w:rPr>
          <w:fldChar w:fldCharType="separate"/>
        </w:r>
        <w:r>
          <w:rPr>
            <w:rFonts w:ascii="Arial" w:hAnsi="Arial" w:cs="Arial"/>
            <w:noProof/>
            <w:webHidden/>
          </w:rPr>
          <w:t>13</w:t>
        </w:r>
        <w:r w:rsidR="0006394C" w:rsidRPr="00A877EF">
          <w:rPr>
            <w:rFonts w:ascii="Arial" w:hAnsi="Arial" w:cs="Arial"/>
            <w:noProof/>
            <w:webHidden/>
          </w:rPr>
          <w:fldChar w:fldCharType="end"/>
        </w:r>
      </w:hyperlink>
    </w:p>
    <w:p w14:paraId="577D9541" w14:textId="77777777" w:rsidR="0012388D" w:rsidRPr="0006394C" w:rsidRDefault="00B55714" w:rsidP="00C91C02">
      <w:pPr>
        <w:rPr>
          <w:rFonts w:cs="Arial"/>
        </w:rPr>
      </w:pPr>
      <w:r w:rsidRPr="00A877EF">
        <w:rPr>
          <w:rFonts w:cs="Arial"/>
          <w:sz w:val="20"/>
          <w:szCs w:val="20"/>
        </w:rPr>
        <w:fldChar w:fldCharType="end"/>
      </w:r>
    </w:p>
    <w:p w14:paraId="07D3C2A5" w14:textId="77777777" w:rsidR="007F7BF7" w:rsidRDefault="007F7BF7" w:rsidP="00CA5734"/>
    <w:p w14:paraId="61DEFA39"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42324515" w14:textId="77777777" w:rsidR="00A671E6" w:rsidRPr="0089264A" w:rsidRDefault="00A671E6" w:rsidP="00A671E6">
      <w:pPr>
        <w:rPr>
          <w:szCs w:val="22"/>
        </w:rPr>
      </w:pPr>
    </w:p>
    <w:p w14:paraId="6D30F51F" w14:textId="36FD670A" w:rsidR="00EB47D2" w:rsidRPr="001278A9" w:rsidRDefault="007A53BF" w:rsidP="00EB47D2">
      <w:pPr>
        <w:rPr>
          <w:szCs w:val="22"/>
        </w:rPr>
      </w:pPr>
      <w:r w:rsidRPr="0089264A">
        <w:rPr>
          <w:szCs w:val="22"/>
        </w:rPr>
        <w:t xml:space="preserve">The following </w:t>
      </w:r>
      <w:r w:rsidR="00EB47D2">
        <w:rPr>
          <w:szCs w:val="22"/>
        </w:rPr>
        <w:t>document</w:t>
      </w:r>
      <w:r w:rsidRPr="0089264A">
        <w:rPr>
          <w:szCs w:val="22"/>
        </w:rPr>
        <w:t xml:space="preserve"> </w:t>
      </w:r>
      <w:r>
        <w:rPr>
          <w:szCs w:val="22"/>
        </w:rPr>
        <w:t>which informed the assessment of this</w:t>
      </w:r>
      <w:r w:rsidR="00EB47D2">
        <w:rPr>
          <w:szCs w:val="22"/>
        </w:rPr>
        <w:t xml:space="preserve"> Application is</w:t>
      </w:r>
      <w:r w:rsidRPr="0089264A">
        <w:rPr>
          <w:szCs w:val="22"/>
        </w:rPr>
        <w:t xml:space="preserve"> available on the FSANZ website at</w:t>
      </w:r>
      <w:r w:rsidRPr="0089264A">
        <w:rPr>
          <w:color w:val="FF0000"/>
          <w:szCs w:val="22"/>
        </w:rPr>
        <w:t xml:space="preserve"> </w:t>
      </w:r>
    </w:p>
    <w:p w14:paraId="0A388CB1" w14:textId="77777777" w:rsidR="00EB47D2" w:rsidRDefault="003F3256" w:rsidP="00EB47D2">
      <w:pPr>
        <w:rPr>
          <w:szCs w:val="22"/>
        </w:rPr>
      </w:pPr>
      <w:hyperlink r:id="rId19" w:history="1">
        <w:r w:rsidR="00EB47D2" w:rsidRPr="00E66F30">
          <w:rPr>
            <w:rStyle w:val="Hyperlink"/>
            <w:szCs w:val="22"/>
          </w:rPr>
          <w:t>http://www.foodstandards.gov.au/code/applications/Pages/A1109Glutaminase.aspx</w:t>
        </w:r>
      </w:hyperlink>
    </w:p>
    <w:p w14:paraId="367A2177" w14:textId="77777777" w:rsidR="00EB47D2" w:rsidRPr="001278A9" w:rsidRDefault="00EB47D2" w:rsidP="00EB47D2">
      <w:pPr>
        <w:rPr>
          <w:szCs w:val="22"/>
        </w:rPr>
      </w:pPr>
    </w:p>
    <w:p w14:paraId="4218FB25" w14:textId="31243179" w:rsidR="00EB47D2" w:rsidRPr="001278A9" w:rsidRDefault="00EB47D2" w:rsidP="00EB47D2">
      <w:pPr>
        <w:ind w:left="1134" w:hanging="1134"/>
      </w:pPr>
      <w:r w:rsidRPr="001278A9">
        <w:t>SD1</w:t>
      </w:r>
      <w:r w:rsidRPr="001278A9">
        <w:tab/>
      </w:r>
      <w:r>
        <w:t>Risk and Technical Assessment Report</w:t>
      </w:r>
      <w:r w:rsidR="00023970">
        <w:t xml:space="preserve"> (at Approval)</w:t>
      </w:r>
    </w:p>
    <w:p w14:paraId="1CA86095" w14:textId="77777777" w:rsidR="003C4969" w:rsidRPr="00CA5734" w:rsidRDefault="00D15A08" w:rsidP="009A2699">
      <w:pPr>
        <w:spacing w:line="280" w:lineRule="exact"/>
        <w:ind w:left="851" w:hanging="851"/>
        <w:outlineLvl w:val="3"/>
        <w:rPr>
          <w:vanish/>
          <w:color w:val="FF0000"/>
        </w:rPr>
      </w:pPr>
      <w:r w:rsidRPr="00CA5734">
        <w:br w:type="page"/>
      </w:r>
    </w:p>
    <w:p w14:paraId="028DF878" w14:textId="77777777" w:rsidR="007A53BF" w:rsidRPr="007A53BF" w:rsidRDefault="007A53BF" w:rsidP="00CE59AA">
      <w:pPr>
        <w:pStyle w:val="Heading1"/>
      </w:pPr>
      <w:bookmarkStart w:id="1" w:name="_Toc286391001"/>
      <w:bookmarkStart w:id="2" w:name="_Toc300933414"/>
      <w:bookmarkStart w:id="3" w:name="_Toc370223463"/>
      <w:bookmarkStart w:id="4" w:name="_Toc447109106"/>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B863FAC" w14:textId="191B847A" w:rsidR="00EB47D2" w:rsidRPr="00E65EEB" w:rsidRDefault="00EB47D2" w:rsidP="00EB47D2">
      <w:r w:rsidRPr="00E65EEB">
        <w:t xml:space="preserve">Amano Enzyme Inc. submitted an Application seeking permission to use the enzyme glutaminase (EC number 3.5.1.2) </w:t>
      </w:r>
      <w:r>
        <w:t>sourced</w:t>
      </w:r>
      <w:r w:rsidRPr="00E65EEB">
        <w:t xml:space="preserve"> from </w:t>
      </w:r>
      <w:r w:rsidRPr="00E65EEB">
        <w:rPr>
          <w:i/>
        </w:rPr>
        <w:t xml:space="preserve">Bacillus amyloliquefaciens </w:t>
      </w:r>
      <w:r w:rsidRPr="00E65EEB">
        <w:t>as a processing aid. The Applicant state</w:t>
      </w:r>
      <w:r>
        <w:t>s</w:t>
      </w:r>
      <w:r w:rsidRPr="00E65EEB">
        <w:t xml:space="preserve"> that this enzyme would be used in the production of certain seasoning ingredients (e.g. yeast extract, hydrolysed vegetable proteins</w:t>
      </w:r>
      <w:r w:rsidR="00DB0789">
        <w:rPr>
          <w:rStyle w:val="FootnoteReference"/>
        </w:rPr>
        <w:footnoteReference w:id="2"/>
      </w:r>
      <w:r w:rsidR="00DB0789">
        <w:t xml:space="preserve"> </w:t>
      </w:r>
      <w:r w:rsidRPr="00E65EEB">
        <w:t xml:space="preserve">and hydrolysed animal proteins) or food products used as seasonings (e.g. soy sauce, miso, vinegar, fish sauce, etc.). </w:t>
      </w:r>
    </w:p>
    <w:p w14:paraId="08456B0D" w14:textId="77777777" w:rsidR="00EB47D2" w:rsidRPr="00E65EEB" w:rsidRDefault="00EB47D2" w:rsidP="00EB47D2"/>
    <w:p w14:paraId="7C3CD423" w14:textId="77777777" w:rsidR="00FF0D29" w:rsidRDefault="00FF0D29" w:rsidP="00EB47D2">
      <w:r w:rsidRPr="00E65EEB">
        <w:t xml:space="preserve">The enzyme the Applicant wishes to use is sourced from a non-genetically modified strain of </w:t>
      </w:r>
      <w:r w:rsidRPr="00E65EEB">
        <w:rPr>
          <w:i/>
        </w:rPr>
        <w:t xml:space="preserve">B. amyloliquefaciens </w:t>
      </w:r>
      <w:r w:rsidRPr="00E65EEB">
        <w:t xml:space="preserve">(strain GT2). Strain GT2 is obtained by subjecting the parent strain, </w:t>
      </w:r>
      <w:r w:rsidRPr="00E65EEB">
        <w:rPr>
          <w:i/>
        </w:rPr>
        <w:t>B.</w:t>
      </w:r>
      <w:r>
        <w:rPr>
          <w:i/>
        </w:rPr>
        <w:t> </w:t>
      </w:r>
      <w:r w:rsidRPr="00E65EEB">
        <w:rPr>
          <w:i/>
        </w:rPr>
        <w:t xml:space="preserve">amyloliquefaciens </w:t>
      </w:r>
      <w:r w:rsidRPr="00E65EEB">
        <w:t xml:space="preserve">(strain NP) to a conventional chemical mutation process. </w:t>
      </w:r>
    </w:p>
    <w:p w14:paraId="48420C69" w14:textId="77777777" w:rsidR="00FF0D29" w:rsidRDefault="00FF0D29" w:rsidP="00EB47D2"/>
    <w:p w14:paraId="6A2882B9" w14:textId="44A35008" w:rsidR="00EB47D2" w:rsidRDefault="00EB47D2" w:rsidP="00EB47D2">
      <w:r w:rsidRPr="00E65EEB">
        <w:t xml:space="preserve">Glutaminase catalyses the conversion of L-glutamine to glutamate, an important component of taste and quality in the foods to which glutaminase is added. The use of glutaminase to increase the glutamate content of these </w:t>
      </w:r>
      <w:r>
        <w:t xml:space="preserve">types of </w:t>
      </w:r>
      <w:r w:rsidRPr="00E65EEB">
        <w:t xml:space="preserve">foods </w:t>
      </w:r>
      <w:r>
        <w:t>can be</w:t>
      </w:r>
      <w:r w:rsidRPr="00E65EEB">
        <w:t xml:space="preserve"> an alternative to use of chemicals (acid hydrolysis) or to external sources of glutamate (such as monosodium glutamate (MSG)), to form foods/food ingredients with high concentrations of glutamates.</w:t>
      </w:r>
    </w:p>
    <w:p w14:paraId="2F2BEB78" w14:textId="77777777" w:rsidR="00EB47D2" w:rsidRPr="00A877EF" w:rsidRDefault="00EB47D2" w:rsidP="00EB47D2"/>
    <w:p w14:paraId="42F52286" w14:textId="2077D70E" w:rsidR="00EB47D2" w:rsidRPr="00A877EF" w:rsidRDefault="00EB47D2" w:rsidP="00605EF0">
      <w:pPr>
        <w:ind w:right="-286"/>
      </w:pPr>
      <w:r w:rsidRPr="00A877EF">
        <w:t xml:space="preserve">Enzymes used in the production and manufacture of food are considered processing aids and are regulated </w:t>
      </w:r>
      <w:r w:rsidR="00023970" w:rsidRPr="00A877EF">
        <w:t xml:space="preserve">under </w:t>
      </w:r>
      <w:r w:rsidRPr="00A877EF">
        <w:t xml:space="preserve">Schedule 18 </w:t>
      </w:r>
      <w:r w:rsidR="00023970" w:rsidRPr="00A877EF">
        <w:t xml:space="preserve">in the </w:t>
      </w:r>
      <w:r w:rsidR="00023970" w:rsidRPr="00A877EF">
        <w:rPr>
          <w:i/>
        </w:rPr>
        <w:t>Australia New Zealand Food Standards Code</w:t>
      </w:r>
      <w:r w:rsidRPr="00A877EF">
        <w:t xml:space="preserve"> </w:t>
      </w:r>
      <w:r w:rsidR="00AD2764" w:rsidRPr="00A877EF">
        <w:t>(</w:t>
      </w:r>
      <w:r w:rsidRPr="00A877EF">
        <w:t>the Code</w:t>
      </w:r>
      <w:r w:rsidR="00AD2764" w:rsidRPr="00A877EF">
        <w:t>)</w:t>
      </w:r>
      <w:r w:rsidRPr="00A877EF">
        <w:t>. Permitted enzymes of micr</w:t>
      </w:r>
      <w:r w:rsidR="002D4561" w:rsidRPr="00A877EF">
        <w:t>obial origin are listed in the t</w:t>
      </w:r>
      <w:r w:rsidRPr="00A877EF">
        <w:t>able to subsection S18—4(5).</w:t>
      </w:r>
    </w:p>
    <w:p w14:paraId="513A56E7" w14:textId="77777777" w:rsidR="00EB47D2" w:rsidRPr="00A877EF" w:rsidRDefault="00EB47D2" w:rsidP="00EB47D2"/>
    <w:p w14:paraId="4624CF28" w14:textId="7FC4489E" w:rsidR="00EB47D2" w:rsidRPr="00A877EF" w:rsidRDefault="00EB47D2" w:rsidP="00EB47D2">
      <w:pPr>
        <w:rPr>
          <w:rFonts w:cs="Arial"/>
          <w:lang w:val="en-AU"/>
        </w:rPr>
      </w:pPr>
      <w:r w:rsidRPr="00A877EF">
        <w:rPr>
          <w:rFonts w:cs="Arial"/>
        </w:rPr>
        <w:t xml:space="preserve">FSANZ’s risk assessment concluded that there were no public health and safety issues associated with the source microorganism or with using the </w:t>
      </w:r>
      <w:r w:rsidRPr="00A877EF">
        <w:t>enzyme preparation</w:t>
      </w:r>
      <w:r w:rsidRPr="00A877EF">
        <w:rPr>
          <w:rFonts w:cs="Arial"/>
          <w:lang w:val="en-AU"/>
        </w:rPr>
        <w:t xml:space="preserve"> </w:t>
      </w:r>
      <w:r w:rsidRPr="00A877EF">
        <w:rPr>
          <w:rFonts w:cs="Arial"/>
        </w:rPr>
        <w:t xml:space="preserve">as a food processing aid. </w:t>
      </w:r>
      <w:r w:rsidRPr="00A877EF">
        <w:rPr>
          <w:rFonts w:cs="Arial"/>
          <w:lang w:val="en-AU"/>
        </w:rPr>
        <w:t>Residual enzyme is expected to be present in the final food but would be susceptible to digestion like other dietary proteins. FSANZ also concluded that in the absence of any identifiable hazard, an Acceptable Daily Intake (ADI) ‘not specified’ would be appropriate. A dietary exposure assessment was therefore not required.</w:t>
      </w:r>
    </w:p>
    <w:p w14:paraId="0D2C194F" w14:textId="77777777" w:rsidR="00EB47D2" w:rsidRPr="00A877EF" w:rsidRDefault="00EB47D2" w:rsidP="00EB47D2">
      <w:pPr>
        <w:rPr>
          <w:rFonts w:cs="Arial"/>
          <w:lang w:val="en-AU"/>
        </w:rPr>
      </w:pPr>
    </w:p>
    <w:p w14:paraId="6FD3B520" w14:textId="0D5A412F" w:rsidR="00EB47D2" w:rsidRPr="00CE275D" w:rsidRDefault="00EB47D2" w:rsidP="00EB47D2">
      <w:pPr>
        <w:rPr>
          <w:rFonts w:cs="Arial"/>
          <w:lang w:val="en-AU"/>
        </w:rPr>
      </w:pPr>
      <w:r w:rsidRPr="00CE275D">
        <w:rPr>
          <w:rFonts w:cs="Arial"/>
        </w:rPr>
        <w:t>The evidence presented to support the proposed uses provide</w:t>
      </w:r>
      <w:r w:rsidR="005E196C">
        <w:rPr>
          <w:rFonts w:cs="Arial"/>
        </w:rPr>
        <w:t>d</w:t>
      </w:r>
      <w:r w:rsidRPr="00CE275D">
        <w:rPr>
          <w:rFonts w:cs="Arial"/>
        </w:rPr>
        <w:t xml:space="preserve"> adequate assurance that the enzyme, in the form </w:t>
      </w:r>
      <w:r w:rsidR="005E196C">
        <w:rPr>
          <w:rFonts w:cs="Arial"/>
        </w:rPr>
        <w:t xml:space="preserve">described in the Application </w:t>
      </w:r>
      <w:r w:rsidRPr="00CE275D">
        <w:rPr>
          <w:rFonts w:cs="Arial"/>
        </w:rPr>
        <w:t>and prescribed amounts, is technologically justified and has been demonstrated to be effective in achieving its stated purpose. The enzyme preparation meets international purity specifications.</w:t>
      </w:r>
      <w:r w:rsidR="005E196C">
        <w:rPr>
          <w:rFonts w:cs="Arial"/>
        </w:rPr>
        <w:t xml:space="preserve"> Therefore, the assessment considered that the enzyme should be permitted for use as a processing aid.</w:t>
      </w:r>
    </w:p>
    <w:p w14:paraId="365C0B3C" w14:textId="77777777" w:rsidR="003A7F73" w:rsidRDefault="003A7F73" w:rsidP="003A7F73">
      <w:pPr>
        <w:rPr>
          <w:lang w:val="en-AU" w:eastAsia="en-GB"/>
        </w:rPr>
      </w:pPr>
    </w:p>
    <w:p w14:paraId="7A92F674" w14:textId="77777777" w:rsidR="005E196C" w:rsidRDefault="00EB47D2" w:rsidP="003A7F73">
      <w:pPr>
        <w:rPr>
          <w:lang w:val="en-AU" w:eastAsia="en-GB"/>
        </w:rPr>
      </w:pPr>
      <w:r w:rsidRPr="00EB47D2">
        <w:rPr>
          <w:lang w:val="en-AU" w:eastAsia="en-GB"/>
        </w:rPr>
        <w:t xml:space="preserve">The nomenclature for the enzyme is consistent with the International Union of Biochemistry and Molecular Biology (IUBMB) naming system, </w:t>
      </w:r>
      <w:r w:rsidRPr="00EB47D2">
        <w:t>the internationally recognised authority for enzyme nomenclature</w:t>
      </w:r>
      <w:r w:rsidRPr="00EB47D2">
        <w:rPr>
          <w:lang w:val="en-AU" w:eastAsia="en-GB"/>
        </w:rPr>
        <w:t>.</w:t>
      </w:r>
    </w:p>
    <w:p w14:paraId="50555F4C" w14:textId="77777777" w:rsidR="003A7F73" w:rsidRDefault="003A7F73" w:rsidP="003A7F73">
      <w:pPr>
        <w:rPr>
          <w:b/>
          <w:lang w:val="en-AU" w:eastAsia="en-GB"/>
        </w:rPr>
      </w:pPr>
    </w:p>
    <w:p w14:paraId="45E4A587" w14:textId="41621BA3" w:rsidR="005E196C" w:rsidRDefault="005E196C" w:rsidP="003A7F73">
      <w:pPr>
        <w:rPr>
          <w:lang w:val="en-AU" w:eastAsia="en-GB"/>
        </w:rPr>
      </w:pPr>
      <w:r>
        <w:rPr>
          <w:lang w:val="en-AU" w:eastAsia="en-GB"/>
        </w:rPr>
        <w:t xml:space="preserve">The FSANZ Board has approved </w:t>
      </w:r>
      <w:r w:rsidR="002D4561">
        <w:rPr>
          <w:lang w:val="en-AU" w:eastAsia="en-GB"/>
        </w:rPr>
        <w:t xml:space="preserve">a </w:t>
      </w:r>
      <w:r>
        <w:rPr>
          <w:lang w:val="en-AU" w:eastAsia="en-GB"/>
        </w:rPr>
        <w:t xml:space="preserve">draft variation to </w:t>
      </w:r>
      <w:r w:rsidR="002D4561" w:rsidRPr="002D4561">
        <w:rPr>
          <w:lang w:val="en-AU" w:eastAsia="en-GB"/>
        </w:rPr>
        <w:t>the table to subsection S18—4(5)</w:t>
      </w:r>
      <w:r>
        <w:rPr>
          <w:lang w:val="en-AU" w:eastAsia="en-GB"/>
        </w:rPr>
        <w:t xml:space="preserve">. </w:t>
      </w:r>
      <w:r w:rsidR="002D4561">
        <w:rPr>
          <w:lang w:val="en-AU" w:eastAsia="en-GB"/>
        </w:rPr>
        <w:t>T</w:t>
      </w:r>
      <w:r>
        <w:rPr>
          <w:lang w:val="en-AU" w:eastAsia="en-GB"/>
        </w:rPr>
        <w:t>h</w:t>
      </w:r>
      <w:r w:rsidR="002D4561">
        <w:rPr>
          <w:lang w:val="en-AU" w:eastAsia="en-GB"/>
        </w:rPr>
        <w:t>is</w:t>
      </w:r>
      <w:r>
        <w:rPr>
          <w:lang w:val="en-AU" w:eastAsia="en-GB"/>
        </w:rPr>
        <w:t xml:space="preserve"> </w:t>
      </w:r>
      <w:r w:rsidR="00023970">
        <w:rPr>
          <w:lang w:val="en-AU" w:eastAsia="en-GB"/>
        </w:rPr>
        <w:t>will</w:t>
      </w:r>
      <w:r w:rsidRPr="005E196C">
        <w:rPr>
          <w:lang w:val="en-AU" w:eastAsia="en-GB"/>
        </w:rPr>
        <w:t xml:space="preserve"> permit </w:t>
      </w:r>
      <w:r w:rsidR="002D4561">
        <w:rPr>
          <w:lang w:val="en-AU" w:eastAsia="en-GB"/>
        </w:rPr>
        <w:t xml:space="preserve">the use of glutaminase </w:t>
      </w:r>
      <w:r w:rsidR="002D4561" w:rsidRPr="002D4561">
        <w:rPr>
          <w:lang w:val="en-AU" w:eastAsia="en-GB"/>
        </w:rPr>
        <w:t>(EC 3.5.1.2)</w:t>
      </w:r>
      <w:r w:rsidR="002D4561">
        <w:rPr>
          <w:lang w:val="en-AU" w:eastAsia="en-GB"/>
        </w:rPr>
        <w:t xml:space="preserve"> sourced from </w:t>
      </w:r>
      <w:r w:rsidR="007D1B5C" w:rsidRPr="002D4561">
        <w:rPr>
          <w:i/>
          <w:lang w:val="en-AU" w:eastAsia="en-GB"/>
        </w:rPr>
        <w:t>B</w:t>
      </w:r>
      <w:r w:rsidR="007D1B5C">
        <w:rPr>
          <w:i/>
          <w:lang w:val="en-AU" w:eastAsia="en-GB"/>
        </w:rPr>
        <w:t>.</w:t>
      </w:r>
      <w:r w:rsidR="007D1B5C" w:rsidRPr="002D4561">
        <w:rPr>
          <w:i/>
          <w:lang w:val="en-AU" w:eastAsia="en-GB"/>
        </w:rPr>
        <w:t xml:space="preserve"> </w:t>
      </w:r>
      <w:r w:rsidR="002D4561" w:rsidRPr="002D4561">
        <w:rPr>
          <w:i/>
          <w:lang w:val="en-AU" w:eastAsia="en-GB"/>
        </w:rPr>
        <w:t>amyloliquefaciens</w:t>
      </w:r>
      <w:r w:rsidR="002D4561" w:rsidRPr="002D4561">
        <w:rPr>
          <w:lang w:val="en-AU" w:eastAsia="en-GB"/>
        </w:rPr>
        <w:t xml:space="preserve"> as a processing aid.</w:t>
      </w:r>
    </w:p>
    <w:p w14:paraId="7A343DE3" w14:textId="77777777" w:rsidR="003A7F73" w:rsidRPr="005E196C" w:rsidRDefault="003A7F73" w:rsidP="003A7F73">
      <w:pPr>
        <w:rPr>
          <w:b/>
          <w:lang w:val="en-AU" w:eastAsia="en-GB"/>
        </w:rPr>
      </w:pPr>
    </w:p>
    <w:p w14:paraId="5AC4E5F9" w14:textId="05575BF4" w:rsidR="00C836FF" w:rsidRPr="00EB47D2" w:rsidRDefault="005E196C" w:rsidP="00FF0D29">
      <w:pPr>
        <w:pStyle w:val="FSTableTitle"/>
        <w:rPr>
          <w:b w:val="0"/>
          <w:szCs w:val="22"/>
        </w:rPr>
      </w:pPr>
      <w:r w:rsidRPr="005E196C">
        <w:rPr>
          <w:b w:val="0"/>
          <w:szCs w:val="22"/>
          <w:lang w:val="en-AU" w:eastAsia="en-GB"/>
        </w:rPr>
        <w:t xml:space="preserve">FSANZ received three submissions on the draft variation following the call for submissions, with all submitters supporting the draft variation. </w:t>
      </w:r>
      <w:r w:rsidR="002D4561">
        <w:rPr>
          <w:b w:val="0"/>
          <w:szCs w:val="22"/>
          <w:lang w:val="en-AU" w:eastAsia="en-GB"/>
        </w:rPr>
        <w:t xml:space="preserve">One submitter questioned whether consideration </w:t>
      </w:r>
      <w:r w:rsidR="001F78BA">
        <w:rPr>
          <w:b w:val="0"/>
          <w:szCs w:val="22"/>
          <w:lang w:val="en-AU" w:eastAsia="en-GB"/>
        </w:rPr>
        <w:t xml:space="preserve">needed to </w:t>
      </w:r>
      <w:r w:rsidR="002D4561">
        <w:rPr>
          <w:b w:val="0"/>
          <w:szCs w:val="22"/>
          <w:lang w:val="en-AU" w:eastAsia="en-GB"/>
        </w:rPr>
        <w:t>be given to inform consumers who may be sensitive to glutamate.</w:t>
      </w:r>
      <w:r w:rsidR="00937DDB">
        <w:rPr>
          <w:b w:val="0"/>
          <w:szCs w:val="22"/>
          <w:lang w:val="en-AU" w:eastAsia="en-GB"/>
        </w:rPr>
        <w:t xml:space="preserve"> </w:t>
      </w:r>
      <w:r w:rsidR="00BB2158" w:rsidRPr="00BB2158">
        <w:rPr>
          <w:b w:val="0"/>
          <w:szCs w:val="22"/>
          <w:lang w:val="en-AU" w:eastAsia="en-GB"/>
        </w:rPr>
        <w:t xml:space="preserve">As for other commercial methods currently used to increase the glutamate content of certain foods, the provision of information to consumers on the glutamate content of the food e.g. through labelling, would not be required.  </w:t>
      </w:r>
      <w:r w:rsidR="00C836FF" w:rsidRPr="00EB47D2">
        <w:rPr>
          <w:b w:val="0"/>
          <w:szCs w:val="22"/>
        </w:rPr>
        <w:br w:type="page"/>
      </w:r>
    </w:p>
    <w:p w14:paraId="4EB76E41" w14:textId="77777777" w:rsidR="007A53BF" w:rsidRPr="007A53BF" w:rsidRDefault="007A53BF" w:rsidP="00CE59AA">
      <w:pPr>
        <w:pStyle w:val="Heading1"/>
      </w:pPr>
      <w:bookmarkStart w:id="10" w:name="_Toc300933417"/>
      <w:bookmarkStart w:id="11" w:name="_Toc370223464"/>
      <w:bookmarkStart w:id="12" w:name="_Toc447109107"/>
      <w:r w:rsidRPr="007A53BF">
        <w:lastRenderedPageBreak/>
        <w:t>1</w:t>
      </w:r>
      <w:r w:rsidRPr="007A53BF">
        <w:tab/>
        <w:t>Introduction</w:t>
      </w:r>
      <w:bookmarkEnd w:id="10"/>
      <w:bookmarkEnd w:id="11"/>
      <w:bookmarkEnd w:id="12"/>
    </w:p>
    <w:p w14:paraId="6E0D838F" w14:textId="35B8841B" w:rsidR="007A53BF" w:rsidRPr="00CE59AA" w:rsidRDefault="007A53BF" w:rsidP="00CE59AA">
      <w:pPr>
        <w:pStyle w:val="Heading2"/>
        <w:rPr>
          <w:color w:val="FF0000"/>
        </w:rPr>
      </w:pPr>
      <w:bookmarkStart w:id="13" w:name="_Toc300761890"/>
      <w:bookmarkStart w:id="14" w:name="_Toc447109108"/>
      <w:bookmarkStart w:id="15" w:name="_Toc300933419"/>
      <w:bookmarkStart w:id="16" w:name="_Toc370223465"/>
      <w:r w:rsidRPr="007A53BF">
        <w:t>1.1</w:t>
      </w:r>
      <w:r w:rsidRPr="007A53BF">
        <w:tab/>
        <w:t>The Applicant</w:t>
      </w:r>
      <w:bookmarkEnd w:id="13"/>
      <w:bookmarkEnd w:id="14"/>
      <w:r w:rsidRPr="007A53BF">
        <w:t xml:space="preserve"> </w:t>
      </w:r>
      <w:bookmarkEnd w:id="15"/>
      <w:bookmarkEnd w:id="16"/>
    </w:p>
    <w:p w14:paraId="0A24A1D4" w14:textId="77777777" w:rsidR="00206213" w:rsidRPr="00827ED6" w:rsidRDefault="00206213" w:rsidP="00206213">
      <w:bookmarkStart w:id="17" w:name="_Toc300761891"/>
      <w:bookmarkStart w:id="18" w:name="_Toc300933420"/>
      <w:bookmarkStart w:id="19" w:name="_Toc370223466"/>
      <w:r w:rsidRPr="00827ED6">
        <w:t xml:space="preserve">The Applicant </w:t>
      </w:r>
      <w:r>
        <w:t>is</w:t>
      </w:r>
      <w:r w:rsidRPr="00827ED6">
        <w:t xml:space="preserve"> Amano Enzyme Inc.</w:t>
      </w:r>
      <w:r>
        <w:t>,</w:t>
      </w:r>
      <w:r w:rsidRPr="00827ED6">
        <w:t xml:space="preserve"> </w:t>
      </w:r>
      <w:r>
        <w:t xml:space="preserve">Japan, a producer </w:t>
      </w:r>
      <w:r w:rsidRPr="00827ED6">
        <w:t xml:space="preserve">of </w:t>
      </w:r>
      <w:r>
        <w:t xml:space="preserve">specialty </w:t>
      </w:r>
      <w:r w:rsidRPr="00827ED6">
        <w:t>enzymes for pharm</w:t>
      </w:r>
      <w:r>
        <w:t>a</w:t>
      </w:r>
      <w:r w:rsidRPr="00827ED6">
        <w:t>ceuticals, diagnostic medicines, and the food industry.</w:t>
      </w:r>
    </w:p>
    <w:p w14:paraId="3124A763" w14:textId="18282F93" w:rsidR="007A53BF" w:rsidRPr="007A53BF" w:rsidRDefault="007A53BF" w:rsidP="00CE59AA">
      <w:pPr>
        <w:pStyle w:val="Heading2"/>
      </w:pPr>
      <w:bookmarkStart w:id="20" w:name="_Toc447109109"/>
      <w:r w:rsidRPr="007A53BF">
        <w:t>1.2</w:t>
      </w:r>
      <w:r w:rsidRPr="007A53BF">
        <w:tab/>
        <w:t xml:space="preserve">The </w:t>
      </w:r>
      <w:r w:rsidRPr="00206213">
        <w:t>Application</w:t>
      </w:r>
      <w:bookmarkEnd w:id="17"/>
      <w:bookmarkEnd w:id="18"/>
      <w:bookmarkEnd w:id="19"/>
      <w:bookmarkEnd w:id="20"/>
    </w:p>
    <w:p w14:paraId="2087FD6C" w14:textId="15DF2CD8" w:rsidR="00685ED6" w:rsidRDefault="00685ED6" w:rsidP="00685ED6">
      <w:bookmarkStart w:id="21" w:name="_Toc300761892"/>
      <w:bookmarkStart w:id="22" w:name="_Toc300933421"/>
      <w:bookmarkStart w:id="23" w:name="_Toc370223467"/>
      <w:r>
        <w:t xml:space="preserve">The Application was received on </w:t>
      </w:r>
      <w:r w:rsidRPr="00685ED6">
        <w:t>12 February 2015.</w:t>
      </w:r>
    </w:p>
    <w:p w14:paraId="1C11EB7B" w14:textId="77777777" w:rsidR="00685ED6" w:rsidRDefault="00685ED6" w:rsidP="00685ED6"/>
    <w:p w14:paraId="79F8A2D0" w14:textId="4F7C0DD4" w:rsidR="00206213" w:rsidRDefault="00206213" w:rsidP="00206213">
      <w:pPr>
        <w:tabs>
          <w:tab w:val="left" w:pos="1530"/>
        </w:tabs>
      </w:pPr>
      <w:r>
        <w:t xml:space="preserve">The purpose of the application </w:t>
      </w:r>
      <w:r w:rsidR="00685ED6">
        <w:t>was</w:t>
      </w:r>
      <w:r>
        <w:t xml:space="preserve"> to seek </w:t>
      </w:r>
      <w:r w:rsidRPr="00E477A1">
        <w:t>permission to use the enzyme</w:t>
      </w:r>
      <w:r>
        <w:t>,</w:t>
      </w:r>
      <w:r w:rsidRPr="00E477A1">
        <w:t xml:space="preserve"> glutaminase (EC </w:t>
      </w:r>
      <w:r>
        <w:t xml:space="preserve">number </w:t>
      </w:r>
      <w:r w:rsidRPr="00E477A1">
        <w:t xml:space="preserve">3.5.1.2), </w:t>
      </w:r>
      <w:r>
        <w:t xml:space="preserve">as a processing aid. The enzyme would be used in the </w:t>
      </w:r>
      <w:r w:rsidRPr="00E06920">
        <w:t>production of certain seasoning</w:t>
      </w:r>
      <w:r>
        <w:t xml:space="preserve"> ingredients</w:t>
      </w:r>
      <w:r w:rsidRPr="00E06920">
        <w:t xml:space="preserve"> </w:t>
      </w:r>
      <w:r w:rsidRPr="00E477A1">
        <w:t>(e.g. yeast extract, hydrolysed vegetable proteins and hydrolysed animal proteins) or food</w:t>
      </w:r>
      <w:r>
        <w:t xml:space="preserve"> product</w:t>
      </w:r>
      <w:r w:rsidRPr="00E477A1">
        <w:t xml:space="preserve">s used </w:t>
      </w:r>
      <w:r>
        <w:t>as</w:t>
      </w:r>
      <w:r w:rsidRPr="00E477A1">
        <w:t xml:space="preserve"> seasoning</w:t>
      </w:r>
      <w:r>
        <w:t>s</w:t>
      </w:r>
      <w:r w:rsidRPr="00E477A1">
        <w:t xml:space="preserve"> (e.g. soy sauce, miso, vinegar, fish sauce, etc.).</w:t>
      </w:r>
      <w:r>
        <w:t xml:space="preserve"> </w:t>
      </w:r>
    </w:p>
    <w:p w14:paraId="528B0098" w14:textId="77777777" w:rsidR="00206213" w:rsidRDefault="00206213" w:rsidP="00206213">
      <w:pPr>
        <w:tabs>
          <w:tab w:val="left" w:pos="1530"/>
        </w:tabs>
      </w:pPr>
    </w:p>
    <w:p w14:paraId="39A2AACD" w14:textId="77777777" w:rsidR="00206213" w:rsidRDefault="00206213" w:rsidP="00206213">
      <w:pPr>
        <w:tabs>
          <w:tab w:val="left" w:pos="1530"/>
        </w:tabs>
      </w:pPr>
      <w:r>
        <w:t>G</w:t>
      </w:r>
      <w:r w:rsidRPr="00E477A1">
        <w:t xml:space="preserve">lutaminase catalyses the conversion of L-glutamine </w:t>
      </w:r>
      <w:r>
        <w:t xml:space="preserve">present in these foods </w:t>
      </w:r>
      <w:r w:rsidRPr="00E477A1">
        <w:t>to glutamate, an important component of taste and quality in the foods to which glutaminase is added.</w:t>
      </w:r>
      <w:r w:rsidRPr="005F3677">
        <w:t xml:space="preserve"> </w:t>
      </w:r>
      <w:r w:rsidRPr="00E477A1">
        <w:t xml:space="preserve">The use of </w:t>
      </w:r>
      <w:r w:rsidRPr="00187655">
        <w:t xml:space="preserve">glutaminase </w:t>
      </w:r>
      <w:r>
        <w:t>to increase the glutamate content of foods can be</w:t>
      </w:r>
      <w:r w:rsidRPr="00187655">
        <w:t xml:space="preserve"> an alternative to use of chemicals (acid</w:t>
      </w:r>
      <w:r>
        <w:t xml:space="preserve"> or base</w:t>
      </w:r>
      <w:r w:rsidRPr="00187655">
        <w:t xml:space="preserve"> hydrolysis) </w:t>
      </w:r>
      <w:r>
        <w:t xml:space="preserve">or to external sources of glutamate (such as monosodium glutamate (MSG)), </w:t>
      </w:r>
      <w:r w:rsidRPr="00187655">
        <w:t>to form foods/food ingredients with high concentrations of glutamates.</w:t>
      </w:r>
    </w:p>
    <w:p w14:paraId="307F3D4F" w14:textId="77777777" w:rsidR="00206213" w:rsidRDefault="00206213" w:rsidP="00206213">
      <w:pPr>
        <w:tabs>
          <w:tab w:val="left" w:pos="1530"/>
        </w:tabs>
      </w:pPr>
    </w:p>
    <w:p w14:paraId="1C5FDA71" w14:textId="4B465930" w:rsidR="00206213" w:rsidRDefault="00206213" w:rsidP="00206213">
      <w:pPr>
        <w:tabs>
          <w:tab w:val="left" w:pos="1530"/>
        </w:tabs>
      </w:pPr>
      <w:r>
        <w:t xml:space="preserve">The enzyme is sourced from </w:t>
      </w:r>
      <w:r w:rsidRPr="00E477A1">
        <w:t xml:space="preserve">a chemically mutated strain of </w:t>
      </w:r>
      <w:r w:rsidRPr="005F3677">
        <w:rPr>
          <w:i/>
        </w:rPr>
        <w:t>Bacillus amyloliquefaciens</w:t>
      </w:r>
      <w:r w:rsidRPr="00E477A1">
        <w:t xml:space="preserve"> (strain GT</w:t>
      </w:r>
      <w:r>
        <w:t>2</w:t>
      </w:r>
      <w:r w:rsidRPr="00E477A1">
        <w:t xml:space="preserve">). </w:t>
      </w:r>
      <w:r>
        <w:t>The parent micro</w:t>
      </w:r>
      <w:r w:rsidRPr="005F3677">
        <w:t xml:space="preserve">organism is classified as </w:t>
      </w:r>
      <w:r w:rsidRPr="005F3677">
        <w:rPr>
          <w:i/>
        </w:rPr>
        <w:t>B. amyloliquefaciens</w:t>
      </w:r>
      <w:r w:rsidRPr="005F3677">
        <w:t xml:space="preserve"> strain NP.</w:t>
      </w:r>
      <w:r>
        <w:t xml:space="preserve"> Strain GT2 </w:t>
      </w:r>
      <w:r w:rsidRPr="005F3677">
        <w:t xml:space="preserve">is </w:t>
      </w:r>
      <w:r>
        <w:t>sourced</w:t>
      </w:r>
      <w:r w:rsidRPr="005F3677">
        <w:t xml:space="preserve"> from the NP strain by </w:t>
      </w:r>
      <w:r>
        <w:t xml:space="preserve">a </w:t>
      </w:r>
      <w:r w:rsidRPr="005F3677">
        <w:t xml:space="preserve">conventional process mutation using </w:t>
      </w:r>
      <w:r w:rsidRPr="009012AF">
        <w:rPr>
          <w:i/>
        </w:rPr>
        <w:t>N</w:t>
      </w:r>
      <w:r w:rsidRPr="005F3677">
        <w:t>-methyl-</w:t>
      </w:r>
      <w:r w:rsidRPr="009012AF">
        <w:rPr>
          <w:i/>
        </w:rPr>
        <w:t>N'</w:t>
      </w:r>
      <w:r w:rsidRPr="005F3677">
        <w:t>-nitrosoguanidine</w:t>
      </w:r>
      <w:r>
        <w:t>.</w:t>
      </w:r>
      <w:r w:rsidR="00685ED6">
        <w:t xml:space="preserve"> </w:t>
      </w:r>
      <w:r>
        <w:t xml:space="preserve">The strain is </w:t>
      </w:r>
      <w:r w:rsidRPr="005F3677">
        <w:t>not genetically modified.</w:t>
      </w:r>
      <w:r w:rsidRPr="00E477A1">
        <w:t xml:space="preserve"> </w:t>
      </w:r>
      <w:r>
        <w:t xml:space="preserve">Whilst glutaminase activity is present in </w:t>
      </w:r>
      <w:r w:rsidRPr="005F3677">
        <w:rPr>
          <w:i/>
        </w:rPr>
        <w:t>B. amyloliquefaciens</w:t>
      </w:r>
      <w:r>
        <w:rPr>
          <w:i/>
        </w:rPr>
        <w:t xml:space="preserve">, </w:t>
      </w:r>
      <w:r>
        <w:t>strain GT2 is selected for its improved glutaminase production.</w:t>
      </w:r>
    </w:p>
    <w:p w14:paraId="244BD341" w14:textId="77777777" w:rsidR="00206213" w:rsidRDefault="00206213" w:rsidP="00206213">
      <w:pPr>
        <w:tabs>
          <w:tab w:val="left" w:pos="1530"/>
        </w:tabs>
      </w:pPr>
    </w:p>
    <w:p w14:paraId="0BF432EB" w14:textId="77777777" w:rsidR="00206213" w:rsidRDefault="00206213" w:rsidP="00206213">
      <w:pPr>
        <w:tabs>
          <w:tab w:val="left" w:pos="1530"/>
        </w:tabs>
      </w:pPr>
      <w:r>
        <w:t xml:space="preserve">The glutaminase concentrate is sourced from </w:t>
      </w:r>
      <w:r w:rsidRPr="005F3677">
        <w:rPr>
          <w:i/>
        </w:rPr>
        <w:t>B. amyloliquefaciens</w:t>
      </w:r>
      <w:r w:rsidRPr="005F3677">
        <w:t xml:space="preserve"> </w:t>
      </w:r>
      <w:r>
        <w:t xml:space="preserve">through a process of fermentation. After filtration and purification, the glutaminase concentrate is diluted with sodium chloride to produce an enzyme preparation containing 9% (w/w) glutaminase concentration. The trade name for the enzyme preparation is Glutaminase SD-C100S.  </w:t>
      </w:r>
    </w:p>
    <w:p w14:paraId="32520DBB" w14:textId="77777777" w:rsidR="00206213" w:rsidRDefault="00206213" w:rsidP="00206213">
      <w:pPr>
        <w:tabs>
          <w:tab w:val="left" w:pos="1530"/>
        </w:tabs>
      </w:pPr>
    </w:p>
    <w:p w14:paraId="10E586CB" w14:textId="1C70F4E2" w:rsidR="00206213" w:rsidRDefault="00685ED6" w:rsidP="00206213">
      <w:pPr>
        <w:tabs>
          <w:tab w:val="left" w:pos="1530"/>
        </w:tabs>
      </w:pPr>
      <w:r>
        <w:t>The</w:t>
      </w:r>
      <w:r w:rsidR="00206213">
        <w:t xml:space="preserve"> </w:t>
      </w:r>
      <w:r w:rsidR="00206213" w:rsidRPr="005F3677">
        <w:t xml:space="preserve">enzyme preparation </w:t>
      </w:r>
      <w:r w:rsidR="00206213">
        <w:t xml:space="preserve">is </w:t>
      </w:r>
      <w:r w:rsidR="00206213" w:rsidRPr="005F3677">
        <w:t xml:space="preserve">inactivated either </w:t>
      </w:r>
      <w:r w:rsidR="00206213">
        <w:t>by</w:t>
      </w:r>
      <w:r w:rsidR="00206213" w:rsidRPr="005F3677">
        <w:t xml:space="preserve"> changing the pH </w:t>
      </w:r>
      <w:r w:rsidR="00206213">
        <w:t xml:space="preserve">or the temperature of the food, thus ensuring that the enzyme has no function in the final food product. Guidelines for pH and temperature to achieve enzyme inactivation were provided in the Application. </w:t>
      </w:r>
    </w:p>
    <w:p w14:paraId="4ADF69B1" w14:textId="77777777" w:rsidR="007A53BF" w:rsidRDefault="007A53BF" w:rsidP="00CE59AA">
      <w:pPr>
        <w:pStyle w:val="Heading2"/>
      </w:pPr>
      <w:bookmarkStart w:id="24" w:name="_Toc447109110"/>
      <w:r w:rsidRPr="007A53BF">
        <w:t>1.3</w:t>
      </w:r>
      <w:r w:rsidRPr="007A53BF">
        <w:tab/>
        <w:t>The current Standard</w:t>
      </w:r>
      <w:bookmarkEnd w:id="21"/>
      <w:bookmarkEnd w:id="22"/>
      <w:bookmarkEnd w:id="23"/>
      <w:bookmarkEnd w:id="24"/>
    </w:p>
    <w:p w14:paraId="684A0F6F" w14:textId="153CAC12" w:rsidR="00685ED6" w:rsidRDefault="00685ED6" w:rsidP="00685ED6">
      <w:pPr>
        <w:rPr>
          <w:color w:val="000000" w:themeColor="text1"/>
        </w:rPr>
      </w:pPr>
      <w:r>
        <w:rPr>
          <w:color w:val="000000" w:themeColor="text1"/>
        </w:rPr>
        <w:t xml:space="preserve">Enzymes used in processing and manufacturing food are considered processing aids. Only those processing aids listed in Schedule </w:t>
      </w:r>
      <w:r>
        <w:t xml:space="preserve">18 of the </w:t>
      </w:r>
      <w:r w:rsidRPr="00FE4508">
        <w:t>Code</w:t>
      </w:r>
      <w:r>
        <w:t xml:space="preserve"> are permitted to be used in producing food sold in Australia and New Zealand</w:t>
      </w:r>
      <w:r w:rsidRPr="00FE4508">
        <w:t>.</w:t>
      </w:r>
      <w:r>
        <w:t xml:space="preserve"> Permitted enzymes of microbial origin are listed in the t</w:t>
      </w:r>
      <w:r w:rsidRPr="000A5769">
        <w:t xml:space="preserve">able to </w:t>
      </w:r>
      <w:r>
        <w:t>subsection S18</w:t>
      </w:r>
      <w:r w:rsidRPr="00E71572">
        <w:t>—</w:t>
      </w:r>
      <w:r>
        <w:t>4(</w:t>
      </w:r>
      <w:r w:rsidRPr="000A5769">
        <w:t>5).</w:t>
      </w:r>
    </w:p>
    <w:p w14:paraId="7C3F0723" w14:textId="77777777" w:rsidR="00685ED6" w:rsidRDefault="00685ED6" w:rsidP="00685ED6">
      <w:pPr>
        <w:rPr>
          <w:color w:val="000000" w:themeColor="text1"/>
        </w:rPr>
      </w:pPr>
    </w:p>
    <w:p w14:paraId="1901C68C" w14:textId="53A1D8F3" w:rsidR="00685ED6" w:rsidRDefault="00685ED6" w:rsidP="00685ED6">
      <w:pPr>
        <w:rPr>
          <w:color w:val="000000" w:themeColor="text1"/>
        </w:rPr>
      </w:pPr>
      <w:r>
        <w:rPr>
          <w:color w:val="000000" w:themeColor="text1"/>
        </w:rPr>
        <w:t>Currently there are no permissions for the enzyme glutaminase or enzyme with the EC number</w:t>
      </w:r>
      <w:r w:rsidRPr="000A5769">
        <w:rPr>
          <w:color w:val="000000" w:themeColor="text1"/>
        </w:rPr>
        <w:t xml:space="preserve"> 3.5.1.2</w:t>
      </w:r>
      <w:r>
        <w:rPr>
          <w:color w:val="000000" w:themeColor="text1"/>
        </w:rPr>
        <w:t xml:space="preserve"> in the Code. </w:t>
      </w:r>
      <w:r>
        <w:rPr>
          <w:i/>
          <w:color w:val="000000" w:themeColor="text1"/>
        </w:rPr>
        <w:t xml:space="preserve">B. amyloliquefaciens </w:t>
      </w:r>
      <w:r>
        <w:rPr>
          <w:color w:val="000000" w:themeColor="text1"/>
        </w:rPr>
        <w:t>is the host microorganism for ten other permitted enzymes in the Code.</w:t>
      </w:r>
    </w:p>
    <w:p w14:paraId="742AB3DC" w14:textId="77777777" w:rsidR="00685ED6" w:rsidRDefault="00685ED6" w:rsidP="00685ED6">
      <w:pPr>
        <w:rPr>
          <w:color w:val="000000" w:themeColor="text1"/>
        </w:rPr>
      </w:pPr>
    </w:p>
    <w:p w14:paraId="7807340E" w14:textId="77777777" w:rsidR="009A3051" w:rsidRDefault="00685ED6" w:rsidP="00685ED6">
      <w:r>
        <w:t>The FSANZ Board has approved a draft variation to the table to subsection S18</w:t>
      </w:r>
      <w:r w:rsidRPr="00E71572">
        <w:t>—</w:t>
      </w:r>
      <w:r>
        <w:t>4(</w:t>
      </w:r>
      <w:r w:rsidRPr="000A5769">
        <w:t>5)</w:t>
      </w:r>
      <w:r>
        <w:t xml:space="preserve">. The draft variation refers to </w:t>
      </w:r>
      <w:r w:rsidRPr="009640B1">
        <w:rPr>
          <w:i/>
        </w:rPr>
        <w:t>B. amyloliquefaciens</w:t>
      </w:r>
      <w:r>
        <w:rPr>
          <w:i/>
        </w:rPr>
        <w:t xml:space="preserve"> </w:t>
      </w:r>
      <w:r>
        <w:t xml:space="preserve">without reference to the specific strain, as the Code does not normally identify microorganisms down to strains, just to species. </w:t>
      </w:r>
    </w:p>
    <w:p w14:paraId="41F62FC5" w14:textId="1E05760A" w:rsidR="00605EF0" w:rsidRDefault="00605EF0" w:rsidP="00685ED6">
      <w:r>
        <w:br w:type="page"/>
      </w:r>
    </w:p>
    <w:p w14:paraId="2542F84F" w14:textId="4764E34A" w:rsidR="00685ED6" w:rsidRDefault="00685ED6" w:rsidP="00685ED6">
      <w:pPr>
        <w:rPr>
          <w:color w:val="000000" w:themeColor="text1"/>
        </w:rPr>
      </w:pPr>
      <w:r>
        <w:lastRenderedPageBreak/>
        <w:t xml:space="preserve">Exceptions to this are where the properties belong to a particular strain only, or if there are significant safety or other considerations associated with that strain, which is not the current situation. </w:t>
      </w:r>
    </w:p>
    <w:p w14:paraId="64A5042F" w14:textId="65B5605D" w:rsidR="007A53BF" w:rsidRPr="007A53BF" w:rsidRDefault="007A53BF" w:rsidP="00CE59AA">
      <w:pPr>
        <w:pStyle w:val="Heading2"/>
        <w:rPr>
          <w:u w:color="FFFF00"/>
        </w:rPr>
      </w:pPr>
      <w:bookmarkStart w:id="25" w:name="_Toc286391007"/>
      <w:bookmarkStart w:id="26" w:name="_Toc447109111"/>
      <w:bookmarkStart w:id="27" w:name="_Toc300933423"/>
      <w:bookmarkStart w:id="28" w:name="_Toc370223468"/>
      <w:bookmarkStart w:id="29" w:name="_Toc175381432"/>
      <w:r w:rsidRPr="007A53BF">
        <w:rPr>
          <w:u w:color="FFFF00"/>
        </w:rPr>
        <w:t>1.4</w:t>
      </w:r>
      <w:r w:rsidRPr="007A53BF">
        <w:rPr>
          <w:u w:color="FFFF00"/>
        </w:rPr>
        <w:tab/>
      </w:r>
      <w:r w:rsidRPr="008A17A9">
        <w:rPr>
          <w:u w:color="FFFF00"/>
        </w:rPr>
        <w:t>Reasons for accepting Application</w:t>
      </w:r>
      <w:bookmarkEnd w:id="25"/>
      <w:bookmarkEnd w:id="26"/>
      <w:r w:rsidRPr="008A17A9">
        <w:rPr>
          <w:u w:color="FFFF00"/>
        </w:rPr>
        <w:t xml:space="preserve"> </w:t>
      </w:r>
      <w:bookmarkEnd w:id="27"/>
      <w:bookmarkEnd w:id="28"/>
    </w:p>
    <w:bookmarkEnd w:id="29"/>
    <w:p w14:paraId="00DCC3B5" w14:textId="77777777" w:rsidR="008A17A9" w:rsidRPr="008738D6" w:rsidRDefault="008A17A9" w:rsidP="008A17A9">
      <w:r w:rsidRPr="008738D6">
        <w:t>The Application was accepted for assessment because:</w:t>
      </w:r>
    </w:p>
    <w:p w14:paraId="304CA3F0" w14:textId="77777777" w:rsidR="008A17A9" w:rsidRPr="008A17A9" w:rsidRDefault="008A17A9" w:rsidP="008A17A9"/>
    <w:p w14:paraId="0739F5F9" w14:textId="77777777" w:rsidR="008A17A9" w:rsidRPr="008A17A9" w:rsidRDefault="008A17A9" w:rsidP="008A17A9">
      <w:pPr>
        <w:pStyle w:val="FSBullet"/>
        <w:numPr>
          <w:ilvl w:val="0"/>
          <w:numId w:val="32"/>
        </w:numPr>
        <w:ind w:left="567" w:hanging="567"/>
      </w:pPr>
      <w:r w:rsidRPr="008A17A9">
        <w:t>it complied with the procedural requirements under subsection 22(2) of the FSANZ Act</w:t>
      </w:r>
    </w:p>
    <w:p w14:paraId="00730AEB" w14:textId="1813AEB6" w:rsidR="007A53BF" w:rsidRPr="008A17A9" w:rsidRDefault="008A17A9" w:rsidP="008A17A9">
      <w:pPr>
        <w:pStyle w:val="FSBullet"/>
        <w:numPr>
          <w:ilvl w:val="0"/>
          <w:numId w:val="32"/>
        </w:numPr>
        <w:ind w:left="567" w:hanging="567"/>
      </w:pPr>
      <w:r w:rsidRPr="008A17A9">
        <w:t>it related to a matter that might be developed as a food regulatory measure.</w:t>
      </w:r>
    </w:p>
    <w:p w14:paraId="58769516" w14:textId="77777777" w:rsidR="007A53BF" w:rsidRPr="007A53BF" w:rsidRDefault="007A53BF" w:rsidP="00CE59AA">
      <w:pPr>
        <w:pStyle w:val="Heading2"/>
      </w:pPr>
      <w:bookmarkStart w:id="30" w:name="_Toc370223469"/>
      <w:bookmarkStart w:id="31" w:name="_Toc447109112"/>
      <w:r w:rsidRPr="007A53BF">
        <w:t>1.5</w:t>
      </w:r>
      <w:r w:rsidRPr="007A53BF">
        <w:tab/>
        <w:t>Procedure for assessment</w:t>
      </w:r>
      <w:bookmarkEnd w:id="30"/>
      <w:bookmarkEnd w:id="31"/>
    </w:p>
    <w:p w14:paraId="58426447" w14:textId="5CDA0D30" w:rsidR="00AF397D" w:rsidRDefault="008A17A9" w:rsidP="00AF397D">
      <w:r>
        <w:t>The Application</w:t>
      </w:r>
      <w:r w:rsidR="00AF397D" w:rsidRPr="00CA5734">
        <w:rPr>
          <w:color w:val="FF0000"/>
        </w:rPr>
        <w:t xml:space="preserve"> </w:t>
      </w:r>
      <w:r w:rsidR="00AF397D">
        <w:t xml:space="preserve">was </w:t>
      </w:r>
      <w:r w:rsidR="00AF397D" w:rsidRPr="00932F14">
        <w:t xml:space="preserve">assessed under the </w:t>
      </w:r>
      <w:r>
        <w:t>General</w:t>
      </w:r>
      <w:r w:rsidR="00AF397D" w:rsidRPr="00932F14">
        <w:t xml:space="preserve"> </w:t>
      </w:r>
      <w:r w:rsidR="00AF397D">
        <w:t>P</w:t>
      </w:r>
      <w:r w:rsidR="00AF397D" w:rsidRPr="00932F14">
        <w:t>rocedure.</w:t>
      </w:r>
    </w:p>
    <w:p w14:paraId="5462A095" w14:textId="77777777" w:rsidR="0012388D" w:rsidRDefault="007A53BF" w:rsidP="00755F02">
      <w:pPr>
        <w:pStyle w:val="Heading1"/>
      </w:pPr>
      <w:bookmarkStart w:id="32" w:name="_Toc447109113"/>
      <w:bookmarkStart w:id="33" w:name="_Toc11735630"/>
      <w:bookmarkStart w:id="34" w:name="_Toc29883114"/>
      <w:bookmarkStart w:id="35" w:name="_Toc41906801"/>
      <w:bookmarkStart w:id="36" w:name="_Toc41907548"/>
      <w:bookmarkStart w:id="37" w:name="_Toc120358578"/>
      <w:bookmarkStart w:id="38"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2"/>
    </w:p>
    <w:p w14:paraId="66B75F59" w14:textId="77777777" w:rsidR="007A53BF" w:rsidRPr="002C1A3B" w:rsidRDefault="007A53BF" w:rsidP="007A53BF">
      <w:pPr>
        <w:pStyle w:val="Heading2"/>
      </w:pPr>
      <w:bookmarkStart w:id="39" w:name="_Toc300933438"/>
      <w:bookmarkStart w:id="40" w:name="_Toc370223471"/>
      <w:bookmarkStart w:id="41" w:name="_Toc370225386"/>
      <w:bookmarkStart w:id="42" w:name="_Toc447109114"/>
      <w:bookmarkStart w:id="43" w:name="_Toc286391009"/>
      <w:bookmarkStart w:id="44" w:name="_Toc300933425"/>
      <w:bookmarkStart w:id="45" w:name="_Toc309291838"/>
      <w:bookmarkStart w:id="46" w:name="_Toc309385455"/>
      <w:bookmarkStart w:id="47" w:name="_Toc120358583"/>
      <w:bookmarkStart w:id="48" w:name="_Toc175381440"/>
      <w:r w:rsidRPr="002C1A3B">
        <w:t>2.1</w:t>
      </w:r>
      <w:r w:rsidRPr="002C1A3B">
        <w:tab/>
        <w:t xml:space="preserve">Summary of issues raised </w:t>
      </w:r>
      <w:bookmarkEnd w:id="39"/>
      <w:r w:rsidRPr="002C1A3B">
        <w:t>in submissions</w:t>
      </w:r>
      <w:bookmarkEnd w:id="40"/>
      <w:bookmarkEnd w:id="41"/>
      <w:bookmarkEnd w:id="42"/>
    </w:p>
    <w:p w14:paraId="256D570A" w14:textId="1417E8AE" w:rsidR="008A17A9" w:rsidRPr="008A17A9" w:rsidRDefault="008A17A9" w:rsidP="008A17A9">
      <w:pPr>
        <w:pStyle w:val="FSTableTitle"/>
        <w:rPr>
          <w:b w:val="0"/>
          <w:szCs w:val="22"/>
          <w:lang w:val="en-AU" w:eastAsia="en-GB"/>
        </w:rPr>
      </w:pPr>
      <w:r>
        <w:rPr>
          <w:b w:val="0"/>
          <w:szCs w:val="22"/>
          <w:lang w:val="en-AU" w:eastAsia="en-GB"/>
        </w:rPr>
        <w:t>Three s</w:t>
      </w:r>
      <w:r w:rsidRPr="005E196C">
        <w:rPr>
          <w:b w:val="0"/>
          <w:szCs w:val="22"/>
          <w:lang w:val="en-AU" w:eastAsia="en-GB"/>
        </w:rPr>
        <w:t xml:space="preserve">ubmissions on the draft variation </w:t>
      </w:r>
      <w:r>
        <w:rPr>
          <w:b w:val="0"/>
          <w:szCs w:val="22"/>
          <w:lang w:val="en-AU" w:eastAsia="en-GB"/>
        </w:rPr>
        <w:t xml:space="preserve">were received – two from government departments </w:t>
      </w:r>
      <w:r w:rsidRPr="008A17A9">
        <w:rPr>
          <w:b w:val="0"/>
          <w:szCs w:val="22"/>
          <w:lang w:val="en-AU" w:eastAsia="en-GB"/>
        </w:rPr>
        <w:t xml:space="preserve">(one Australian; one New Zealand) and one from a </w:t>
      </w:r>
      <w:r w:rsidR="000E7418">
        <w:rPr>
          <w:b w:val="0"/>
          <w:szCs w:val="22"/>
          <w:lang w:val="en-AU" w:eastAsia="en-GB"/>
        </w:rPr>
        <w:t xml:space="preserve">food industry association. </w:t>
      </w:r>
      <w:r w:rsidRPr="008A17A9">
        <w:rPr>
          <w:b w:val="0"/>
          <w:szCs w:val="22"/>
          <w:lang w:val="en-AU" w:eastAsia="en-GB"/>
        </w:rPr>
        <w:t>The draft variation to Standard 1.3.3 was supported by all submitters.</w:t>
      </w:r>
    </w:p>
    <w:p w14:paraId="6EB0D021" w14:textId="77777777" w:rsidR="008A17A9" w:rsidRPr="008A17A9" w:rsidRDefault="008A17A9" w:rsidP="008A17A9">
      <w:pPr>
        <w:pStyle w:val="FSTableTitle"/>
        <w:rPr>
          <w:b w:val="0"/>
          <w:szCs w:val="22"/>
          <w:lang w:val="en-AU" w:eastAsia="en-GB"/>
        </w:rPr>
      </w:pPr>
    </w:p>
    <w:p w14:paraId="6F0C8B02" w14:textId="77777777" w:rsidR="000E7418" w:rsidRDefault="008A17A9" w:rsidP="008A17A9">
      <w:pPr>
        <w:pStyle w:val="FSTableTitle"/>
        <w:rPr>
          <w:b w:val="0"/>
          <w:szCs w:val="22"/>
          <w:lang w:val="en-AU" w:eastAsia="en-GB"/>
        </w:rPr>
      </w:pPr>
      <w:r w:rsidRPr="008A17A9">
        <w:rPr>
          <w:b w:val="0"/>
          <w:szCs w:val="22"/>
          <w:lang w:val="en-AU" w:eastAsia="en-GB"/>
        </w:rPr>
        <w:t xml:space="preserve">Submitters were satisfied that the use of the enzyme is technologically justified and that there were no public health or safety concerns identified during FSANZ’s safety assessment of the enzyme preparation and </w:t>
      </w:r>
      <w:r w:rsidR="000E7418">
        <w:rPr>
          <w:b w:val="0"/>
          <w:szCs w:val="22"/>
          <w:lang w:val="en-AU" w:eastAsia="en-GB"/>
        </w:rPr>
        <w:t xml:space="preserve">source </w:t>
      </w:r>
      <w:r w:rsidRPr="008A17A9">
        <w:rPr>
          <w:b w:val="0"/>
          <w:szCs w:val="22"/>
          <w:lang w:val="en-AU" w:eastAsia="en-GB"/>
        </w:rPr>
        <w:t>microorganism.</w:t>
      </w:r>
    </w:p>
    <w:p w14:paraId="0D83A0B7" w14:textId="77777777" w:rsidR="000E7418" w:rsidRDefault="000E7418" w:rsidP="008A17A9">
      <w:pPr>
        <w:pStyle w:val="FSTableTitle"/>
        <w:rPr>
          <w:b w:val="0"/>
          <w:szCs w:val="22"/>
          <w:lang w:val="en-AU" w:eastAsia="en-GB"/>
        </w:rPr>
      </w:pPr>
    </w:p>
    <w:p w14:paraId="1B68BA74" w14:textId="036F5631" w:rsidR="008A17A9" w:rsidRDefault="008A17A9" w:rsidP="008A17A9">
      <w:pPr>
        <w:pStyle w:val="FSTableTitle"/>
      </w:pPr>
      <w:r>
        <w:rPr>
          <w:b w:val="0"/>
          <w:szCs w:val="22"/>
          <w:lang w:val="en-AU" w:eastAsia="en-GB"/>
        </w:rPr>
        <w:t xml:space="preserve">One submitter questioned whether consideration </w:t>
      </w:r>
      <w:r w:rsidR="00C912A7">
        <w:rPr>
          <w:b w:val="0"/>
          <w:szCs w:val="22"/>
          <w:lang w:val="en-AU" w:eastAsia="en-GB"/>
        </w:rPr>
        <w:t xml:space="preserve">needed </w:t>
      </w:r>
      <w:r>
        <w:rPr>
          <w:b w:val="0"/>
          <w:szCs w:val="22"/>
          <w:lang w:val="en-AU" w:eastAsia="en-GB"/>
        </w:rPr>
        <w:t xml:space="preserve">to be given to inform consumers who may be sensitive to glutamate. The use of glutaminase is only one of several commercial methods available to increase the glutamate content of certain foods such as seasoning ingredients, which already have high concentrations of glutamates (through fermentation and/or other naturally occurring hydrolytic processes). </w:t>
      </w:r>
      <w:r w:rsidR="00BB2158" w:rsidRPr="00BB2158">
        <w:rPr>
          <w:b w:val="0"/>
          <w:szCs w:val="22"/>
          <w:lang w:val="en-AU" w:eastAsia="en-GB"/>
        </w:rPr>
        <w:t xml:space="preserve">As for </w:t>
      </w:r>
      <w:r w:rsidR="00BB2158">
        <w:rPr>
          <w:b w:val="0"/>
          <w:szCs w:val="22"/>
          <w:lang w:val="en-AU" w:eastAsia="en-GB"/>
        </w:rPr>
        <w:t xml:space="preserve">these </w:t>
      </w:r>
      <w:r w:rsidR="00BB2158" w:rsidRPr="00BB2158">
        <w:rPr>
          <w:b w:val="0"/>
          <w:szCs w:val="22"/>
          <w:lang w:val="en-AU" w:eastAsia="en-GB"/>
        </w:rPr>
        <w:t xml:space="preserve">other commercial methods, the provision of information to consumers on the glutamate content of the food e.g. through labelling, would not be required.  </w:t>
      </w:r>
    </w:p>
    <w:p w14:paraId="65C41390" w14:textId="77777777" w:rsidR="002C1A3B" w:rsidRPr="00932F14" w:rsidRDefault="002C1A3B" w:rsidP="002C1A3B">
      <w:pPr>
        <w:pStyle w:val="Heading2"/>
      </w:pPr>
      <w:bookmarkStart w:id="49" w:name="_Toc370223472"/>
      <w:bookmarkStart w:id="50" w:name="_Toc370225387"/>
      <w:bookmarkStart w:id="51" w:name="_Toc447109115"/>
      <w:bookmarkStart w:id="52" w:name="_Toc309291812"/>
      <w:bookmarkStart w:id="53" w:name="_Toc175381442"/>
      <w:bookmarkEnd w:id="43"/>
      <w:bookmarkEnd w:id="44"/>
      <w:bookmarkEnd w:id="45"/>
      <w:bookmarkEnd w:id="46"/>
      <w:bookmarkEnd w:id="47"/>
      <w:bookmarkEnd w:id="48"/>
      <w:r>
        <w:t>2.2</w:t>
      </w:r>
      <w:r>
        <w:tab/>
      </w:r>
      <w:r w:rsidRPr="00932F14">
        <w:t xml:space="preserve">Risk </w:t>
      </w:r>
      <w:r>
        <w:t>a</w:t>
      </w:r>
      <w:r w:rsidRPr="00932F14">
        <w:t>ssessment</w:t>
      </w:r>
      <w:bookmarkEnd w:id="49"/>
      <w:bookmarkEnd w:id="50"/>
      <w:bookmarkEnd w:id="51"/>
      <w:r w:rsidRPr="00932F14">
        <w:t xml:space="preserve"> </w:t>
      </w:r>
    </w:p>
    <w:p w14:paraId="11734D4D" w14:textId="77777777" w:rsidR="000E7418" w:rsidRDefault="000E7418" w:rsidP="000E7418">
      <w:r w:rsidRPr="00C70B37">
        <w:t xml:space="preserve">There were no public health and safety issues associated with the use of the enzyme preparation Glutaminase SD-C100S, containing glutaminase sourced from a chemically mutated strain of </w:t>
      </w:r>
      <w:r w:rsidRPr="00C70B37">
        <w:rPr>
          <w:i/>
        </w:rPr>
        <w:t>B. amyloliquefaciens</w:t>
      </w:r>
      <w:r w:rsidRPr="00C70B37">
        <w:t>, as a food processing aid on the basis of the following considerations:</w:t>
      </w:r>
    </w:p>
    <w:p w14:paraId="0F69364D" w14:textId="77777777" w:rsidR="000E7418" w:rsidRDefault="000E7418" w:rsidP="000E7418"/>
    <w:p w14:paraId="5254EBB5" w14:textId="77777777" w:rsidR="00FC5900" w:rsidRDefault="000E7418" w:rsidP="007012D1">
      <w:pPr>
        <w:pStyle w:val="FSBullet1"/>
      </w:pPr>
      <w:r w:rsidRPr="00585316">
        <w:t>The production organism is not toxigenic or pathogenic and is not present in the final enzyme preparation used as the food processing aid. Further,</w:t>
      </w:r>
      <w:r w:rsidRPr="00FC5900">
        <w:rPr>
          <w:i/>
        </w:rPr>
        <w:t xml:space="preserve"> B. amyloliquefaciens </w:t>
      </w:r>
      <w:r w:rsidRPr="00585316">
        <w:t xml:space="preserve">has a history of safe use as the production organism for a number </w:t>
      </w:r>
      <w:r>
        <w:t>of</w:t>
      </w:r>
      <w:r w:rsidRPr="00585316">
        <w:t xml:space="preserve"> processing aids already permitted in the Code.  </w:t>
      </w:r>
    </w:p>
    <w:p w14:paraId="1EE36063" w14:textId="77777777" w:rsidR="00FC5900" w:rsidRDefault="00FC5900" w:rsidP="00FC5900">
      <w:pPr>
        <w:ind w:left="502"/>
      </w:pPr>
    </w:p>
    <w:p w14:paraId="13F58372" w14:textId="54DB30C8" w:rsidR="00FC5900" w:rsidRDefault="000E7418" w:rsidP="007012D1">
      <w:pPr>
        <w:pStyle w:val="FSBullet1"/>
      </w:pPr>
      <w:r w:rsidRPr="00585316">
        <w:t>Glutaminase has a long history of safe use and although residual enzyme is expected to be present in the final food, it would be susceptible to digestion like any other dietary protein.</w:t>
      </w:r>
    </w:p>
    <w:p w14:paraId="4CC058D9" w14:textId="77777777" w:rsidR="00FC5900" w:rsidRDefault="00FC5900" w:rsidP="00FC5900">
      <w:pPr>
        <w:ind w:left="502"/>
      </w:pPr>
    </w:p>
    <w:p w14:paraId="0A1D4BA9" w14:textId="5F15ED41" w:rsidR="00605EF0" w:rsidRDefault="000E7418" w:rsidP="007012D1">
      <w:pPr>
        <w:pStyle w:val="FSBullet1"/>
      </w:pPr>
      <w:r w:rsidRPr="00585316">
        <w:t xml:space="preserve">Complete digestion of the enzyme in simulated digestive fluid suggests the enzyme is unlikely to be </w:t>
      </w:r>
      <w:r w:rsidR="00FC5900">
        <w:t>an allergen</w:t>
      </w:r>
      <w:r w:rsidRPr="00585316">
        <w:t>.</w:t>
      </w:r>
      <w:r w:rsidR="00605EF0">
        <w:br w:type="page"/>
      </w:r>
    </w:p>
    <w:p w14:paraId="698DE856" w14:textId="2977E6EA" w:rsidR="00FC5900" w:rsidRDefault="00FC5900" w:rsidP="007012D1">
      <w:pPr>
        <w:pStyle w:val="FSBullet1"/>
      </w:pPr>
      <w:r w:rsidRPr="00585316">
        <w:lastRenderedPageBreak/>
        <w:t>Bioinformatic analysis</w:t>
      </w:r>
      <w:r>
        <w:rPr>
          <w:rStyle w:val="FootnoteReference"/>
        </w:rPr>
        <w:footnoteReference w:id="3"/>
      </w:r>
      <w:r w:rsidRPr="00585316">
        <w:t xml:space="preserve"> indicated that the enzyme has no biologically relevant homology to known protein allergens.</w:t>
      </w:r>
      <w:r>
        <w:t xml:space="preserve"> This means that the enzyme is not likely to be allergenic.</w:t>
      </w:r>
    </w:p>
    <w:p w14:paraId="041711D3" w14:textId="77777777" w:rsidR="00FC5900" w:rsidRDefault="00FC5900" w:rsidP="00FC5900">
      <w:pPr>
        <w:ind w:left="502"/>
      </w:pPr>
    </w:p>
    <w:p w14:paraId="0A1D6E3A" w14:textId="18141EDD" w:rsidR="00FC5900" w:rsidRDefault="00FC5900" w:rsidP="00335920">
      <w:pPr>
        <w:pStyle w:val="FSBullet1"/>
      </w:pPr>
      <w:r w:rsidRPr="0002674E">
        <w:t>Although there was a reduction in weight gain and f</w:t>
      </w:r>
      <w:r>
        <w:t>eed</w:t>
      </w:r>
      <w:r w:rsidRPr="0002674E">
        <w:t xml:space="preserve"> consumption at the highest dose tested in a 13-week repeat dose toxicity study in rats, this reduction was considered to be </w:t>
      </w:r>
      <w:r>
        <w:t>due to palatability of the feed containing high levels of common table salt.</w:t>
      </w:r>
      <w:r w:rsidRPr="0002674E">
        <w:t xml:space="preserve"> Thus</w:t>
      </w:r>
      <w:r>
        <w:t>,</w:t>
      </w:r>
      <w:r w:rsidRPr="0002674E">
        <w:t xml:space="preserve"> </w:t>
      </w:r>
      <w:r>
        <w:t>in the absence of any treatment related adverse effects,</w:t>
      </w:r>
      <w:r w:rsidRPr="003C0CA4">
        <w:t xml:space="preserve"> </w:t>
      </w:r>
      <w:r w:rsidRPr="0002674E">
        <w:t xml:space="preserve">the </w:t>
      </w:r>
      <w:r w:rsidR="004711D1" w:rsidRPr="0002674E">
        <w:t xml:space="preserve">NOAEL </w:t>
      </w:r>
      <w:r w:rsidR="004711D1">
        <w:t>(</w:t>
      </w:r>
      <w:r w:rsidR="00335920" w:rsidRPr="00335920">
        <w:t>No-Observed-Adverse-Effect Level</w:t>
      </w:r>
      <w:r w:rsidR="00335920">
        <w:t>)</w:t>
      </w:r>
      <w:r w:rsidR="00335920" w:rsidRPr="00335920">
        <w:t xml:space="preserve"> </w:t>
      </w:r>
      <w:r w:rsidRPr="0002674E">
        <w:t xml:space="preserve">for the glutaminase concentrate was </w:t>
      </w:r>
      <w:r>
        <w:t xml:space="preserve">considered to be at </w:t>
      </w:r>
      <w:r w:rsidRPr="0002674E">
        <w:t xml:space="preserve">the highest dose tested, which was 2% </w:t>
      </w:r>
      <w:r>
        <w:t xml:space="preserve">(w/w) in </w:t>
      </w:r>
      <w:r w:rsidRPr="0002674E">
        <w:t>the diet or 1239 mg/kg bw/day.</w:t>
      </w:r>
      <w:r>
        <w:t xml:space="preserve"> </w:t>
      </w:r>
    </w:p>
    <w:p w14:paraId="5D9D2CAF" w14:textId="77777777" w:rsidR="00FC5900" w:rsidRDefault="00FC5900" w:rsidP="00FC5900">
      <w:pPr>
        <w:pStyle w:val="ListParagraph"/>
      </w:pPr>
    </w:p>
    <w:p w14:paraId="5BB5E26A" w14:textId="5B56D31E" w:rsidR="00FC5900" w:rsidRPr="00FC5900" w:rsidRDefault="00FC5900" w:rsidP="007012D1">
      <w:pPr>
        <w:pStyle w:val="FSBullet1"/>
      </w:pPr>
      <w:r w:rsidRPr="006014F1">
        <w:t xml:space="preserve">The enzyme was not genotoxic or mutagenic </w:t>
      </w:r>
      <w:r w:rsidRPr="00FC5900">
        <w:rPr>
          <w:i/>
        </w:rPr>
        <w:t>in vitro</w:t>
      </w:r>
      <w:r w:rsidR="00023970">
        <w:rPr>
          <w:i/>
        </w:rPr>
        <w:t>.</w:t>
      </w:r>
    </w:p>
    <w:p w14:paraId="2031E4F9" w14:textId="77777777" w:rsidR="00FC5900" w:rsidRDefault="00FC5900" w:rsidP="00FC5900">
      <w:pPr>
        <w:pStyle w:val="ListParagraph"/>
      </w:pPr>
    </w:p>
    <w:p w14:paraId="04137252" w14:textId="77777777" w:rsidR="000E7418" w:rsidRPr="00C70B37" w:rsidRDefault="000E7418" w:rsidP="007012D1">
      <w:pPr>
        <w:pStyle w:val="FSBullet1"/>
      </w:pPr>
      <w:r w:rsidRPr="00C70B37">
        <w:t>Based on the reviewed toxicological data, it was concluded that in the absence of any identifiable hazard, an Acceptable Daily Intake (ADI) ‘not specified’ was appropriate. A dietary exposure assessment was therefore not required.</w:t>
      </w:r>
    </w:p>
    <w:p w14:paraId="79155CC6" w14:textId="77777777" w:rsidR="000E7418" w:rsidRDefault="000E7418" w:rsidP="000E7418"/>
    <w:p w14:paraId="4394FF7B" w14:textId="47124BF2" w:rsidR="000E7418" w:rsidRDefault="000E7418" w:rsidP="000E7418">
      <w:r w:rsidRPr="00C55D74">
        <w:t>The evidence presented to support the proposed uses provide</w:t>
      </w:r>
      <w:r>
        <w:t>d</w:t>
      </w:r>
      <w:r w:rsidRPr="00C55D74">
        <w:t xml:space="preserve"> adequate assurance that the enzyme, in the form and prescribed amounts, </w:t>
      </w:r>
      <w:r w:rsidR="009905FE">
        <w:t>was</w:t>
      </w:r>
      <w:r w:rsidRPr="00C55D74">
        <w:t xml:space="preserve"> technologically justified and </w:t>
      </w:r>
      <w:r w:rsidR="009905FE">
        <w:t>was</w:t>
      </w:r>
      <w:r w:rsidRPr="00C55D74">
        <w:t xml:space="preserve"> demonstrated to be effective in achieving its stated purpose. The enzyme preparation meets international purity specifications.</w:t>
      </w:r>
    </w:p>
    <w:p w14:paraId="4619EC92" w14:textId="77777777" w:rsidR="000E7418" w:rsidRPr="00605EF0" w:rsidRDefault="000E7418" w:rsidP="000E7418"/>
    <w:p w14:paraId="2E2F68A2" w14:textId="5424994B" w:rsidR="002C1A3B" w:rsidRPr="00605EF0" w:rsidRDefault="000E7418" w:rsidP="009905FE">
      <w:pPr>
        <w:keepNext/>
        <w:widowControl/>
      </w:pPr>
      <w:r w:rsidRPr="00605EF0">
        <w:t>For further details on the risk assessment, refer to the Risk and Technical Assessment Report (SD1).</w:t>
      </w:r>
    </w:p>
    <w:p w14:paraId="6BCDE936" w14:textId="77777777" w:rsidR="002C1A3B" w:rsidRPr="00932F14" w:rsidRDefault="002C1A3B" w:rsidP="002C1A3B">
      <w:pPr>
        <w:pStyle w:val="Heading2"/>
      </w:pPr>
      <w:bookmarkStart w:id="54" w:name="_Toc370223473"/>
      <w:bookmarkStart w:id="55" w:name="_Toc370225388"/>
      <w:bookmarkStart w:id="56" w:name="_Toc447109116"/>
      <w:bookmarkStart w:id="57" w:name="_Toc175381450"/>
      <w:bookmarkEnd w:id="52"/>
      <w:bookmarkEnd w:id="53"/>
      <w:r>
        <w:t>2.3</w:t>
      </w:r>
      <w:r>
        <w:tab/>
        <w:t>Risk management</w:t>
      </w:r>
      <w:bookmarkEnd w:id="54"/>
      <w:bookmarkEnd w:id="55"/>
      <w:bookmarkEnd w:id="56"/>
    </w:p>
    <w:p w14:paraId="508E13D4" w14:textId="6DE1CA4D" w:rsidR="009905FE" w:rsidRDefault="009905FE" w:rsidP="009905FE">
      <w:bookmarkStart w:id="58" w:name="_Toc309291814"/>
      <w:bookmarkStart w:id="59" w:name="_Toc370225389"/>
      <w:bookmarkStart w:id="60" w:name="_Toc286391012"/>
      <w:bookmarkEnd w:id="57"/>
      <w:r w:rsidRPr="0044606A">
        <w:t>The risk assessment conclusions provide</w:t>
      </w:r>
      <w:r>
        <w:t>d</w:t>
      </w:r>
      <w:r w:rsidRPr="0044606A">
        <w:t xml:space="preserve"> evidence that there </w:t>
      </w:r>
      <w:r>
        <w:t>are</w:t>
      </w:r>
      <w:r w:rsidRPr="0044606A">
        <w:t xml:space="preserve"> no safety risks from the use of this enzyme</w:t>
      </w:r>
      <w:r>
        <w:t xml:space="preserve">, sourced from </w:t>
      </w:r>
      <w:r w:rsidRPr="00D82F09">
        <w:rPr>
          <w:i/>
        </w:rPr>
        <w:t>B. amyloliquefaciens</w:t>
      </w:r>
      <w:r>
        <w:rPr>
          <w:i/>
        </w:rPr>
        <w:t>,</w:t>
      </w:r>
      <w:r w:rsidRPr="00D82F09">
        <w:t xml:space="preserve"> </w:t>
      </w:r>
      <w:r w:rsidRPr="0044606A">
        <w:t xml:space="preserve">as </w:t>
      </w:r>
      <w:r>
        <w:t>a processing aid</w:t>
      </w:r>
      <w:r w:rsidRPr="0044606A">
        <w:t xml:space="preserve">. As processing aids require permissions in the Code, the </w:t>
      </w:r>
      <w:r>
        <w:t>only</w:t>
      </w:r>
      <w:r w:rsidRPr="0044606A">
        <w:t xml:space="preserve"> risk management option</w:t>
      </w:r>
      <w:r>
        <w:t>s</w:t>
      </w:r>
      <w:r w:rsidRPr="0044606A">
        <w:t xml:space="preserve"> available to FSANZ </w:t>
      </w:r>
      <w:r>
        <w:t xml:space="preserve">were to </w:t>
      </w:r>
      <w:r w:rsidRPr="0044606A">
        <w:t xml:space="preserve">approve or reject the request to amend the Code. </w:t>
      </w:r>
    </w:p>
    <w:p w14:paraId="759B967C" w14:textId="77777777" w:rsidR="009905FE" w:rsidRDefault="009905FE" w:rsidP="009905FE"/>
    <w:p w14:paraId="6CE91785" w14:textId="34E684BA" w:rsidR="009905FE" w:rsidRDefault="009905FE" w:rsidP="009905FE">
      <w:r>
        <w:t xml:space="preserve">Additionally, as discussed below, the risk management evaluation considered </w:t>
      </w:r>
      <w:r w:rsidR="00AF4E60">
        <w:t xml:space="preserve">international standards, </w:t>
      </w:r>
      <w:r>
        <w:t>the appropriate enzyme nomenclature</w:t>
      </w:r>
      <w:r w:rsidR="00E375BE">
        <w:t xml:space="preserve">, </w:t>
      </w:r>
      <w:r>
        <w:t>the applicability of the labelling provisions in the Code</w:t>
      </w:r>
      <w:r w:rsidR="00E375BE">
        <w:t>, and an analysis of benefits and costs</w:t>
      </w:r>
      <w:r>
        <w:t>.</w:t>
      </w:r>
    </w:p>
    <w:p w14:paraId="71207484" w14:textId="15F88DD3" w:rsidR="00AF4E60" w:rsidRPr="003246F7" w:rsidRDefault="00AF4E60" w:rsidP="00AF4E60">
      <w:pPr>
        <w:pStyle w:val="Heading3"/>
      </w:pPr>
      <w:bookmarkStart w:id="61" w:name="_Toc392138895"/>
      <w:bookmarkStart w:id="62" w:name="_Toc402946760"/>
      <w:bookmarkStart w:id="63" w:name="_Toc404936793"/>
      <w:bookmarkStart w:id="64" w:name="_Toc438728874"/>
      <w:bookmarkStart w:id="65" w:name="_Toc447109117"/>
      <w:r>
        <w:t>2</w:t>
      </w:r>
      <w:r w:rsidR="003A7F73">
        <w:t>.3.1</w:t>
      </w:r>
      <w:r w:rsidR="003A7F73">
        <w:tab/>
        <w:t>International s</w:t>
      </w:r>
      <w:r w:rsidRPr="003246F7">
        <w:t>tandards</w:t>
      </w:r>
      <w:bookmarkEnd w:id="61"/>
      <w:bookmarkEnd w:id="62"/>
      <w:bookmarkEnd w:id="63"/>
      <w:bookmarkEnd w:id="64"/>
      <w:bookmarkEnd w:id="65"/>
    </w:p>
    <w:p w14:paraId="0522D89A" w14:textId="77777777" w:rsidR="00AF4E60" w:rsidRPr="003246F7" w:rsidRDefault="00AF4E60" w:rsidP="00AF4E60">
      <w:r w:rsidRPr="003246F7">
        <w:t xml:space="preserve">Codex Alimentarius does not </w:t>
      </w:r>
      <w:r>
        <w:t>have</w:t>
      </w:r>
      <w:r w:rsidRPr="003246F7">
        <w:t xml:space="preserve"> Standards for processing aids or enzymes. Individual countries regulate the use of enzymes differently to </w:t>
      </w:r>
      <w:r>
        <w:t xml:space="preserve">how they are regulated in </w:t>
      </w:r>
      <w:r w:rsidRPr="003246F7">
        <w:t xml:space="preserve">the Code. However, there are internationally recognised specifications for enzymes. These enzyme specifications are provided by the Joint FAO/WHO Expert Committee on Food Additives </w:t>
      </w:r>
      <w:r>
        <w:rPr>
          <w:noProof/>
        </w:rPr>
        <w:t>(</w:t>
      </w:r>
      <w:r w:rsidRPr="00055A6A">
        <w:rPr>
          <w:noProof/>
        </w:rPr>
        <w:t>JECFA, 2006</w:t>
      </w:r>
      <w:r>
        <w:rPr>
          <w:noProof/>
        </w:rPr>
        <w:t>)</w:t>
      </w:r>
      <w:r w:rsidRPr="003246F7">
        <w:t xml:space="preserve"> and the Food Chemicals Codex</w:t>
      </w:r>
      <w:r>
        <w:t xml:space="preserve"> (</w:t>
      </w:r>
      <w:r w:rsidRPr="00055A6A">
        <w:t>Food Chemicals Codex, 2015</w:t>
      </w:r>
      <w:r>
        <w:t>)</w:t>
      </w:r>
      <w:r w:rsidRPr="000A6D45">
        <w:t>.</w:t>
      </w:r>
    </w:p>
    <w:p w14:paraId="24DC4DF6" w14:textId="77777777" w:rsidR="00AF4E60" w:rsidRDefault="00AF4E60" w:rsidP="00AF4E60"/>
    <w:p w14:paraId="32A78AD1" w14:textId="5BBBFD4C" w:rsidR="00605EF0" w:rsidRDefault="00AF4E60" w:rsidP="00AF4E60">
      <w:r>
        <w:t>The enzyme preparation Glutaminase SD-C100S has been permitted for use in food production in France (Saisine n</w:t>
      </w:r>
      <w:r>
        <w:rPr>
          <w:rFonts w:cs="Arial"/>
        </w:rPr>
        <w:t>°</w:t>
      </w:r>
      <w:r>
        <w:t xml:space="preserve"> 2009-SA-0089 / Saisine li</w:t>
      </w:r>
      <w:r>
        <w:rPr>
          <w:rFonts w:cs="Arial"/>
        </w:rPr>
        <w:t>é</w:t>
      </w:r>
      <w:r>
        <w:t>e no</w:t>
      </w:r>
      <w:r>
        <w:rPr>
          <w:rFonts w:cs="Arial"/>
        </w:rPr>
        <w:t>°</w:t>
      </w:r>
      <w:r>
        <w:t xml:space="preserve"> 2009-SA-0330, July 16, 2009 (</w:t>
      </w:r>
      <w:r w:rsidRPr="00055A6A">
        <w:t>AFSSA, 2009</w:t>
      </w:r>
      <w:r>
        <w:t>)) and Japan, where it appears on the ‘List of Existing Food Additives’ published by the Ministry of Health and Welfare Japan (microbial source not specified) (</w:t>
      </w:r>
      <w:r w:rsidRPr="00055A6A">
        <w:t>MHLW, 2014</w:t>
      </w:r>
      <w:r>
        <w:t>).</w:t>
      </w:r>
      <w:r w:rsidR="00605EF0">
        <w:br w:type="page"/>
      </w:r>
    </w:p>
    <w:p w14:paraId="4538288D" w14:textId="383D16C3" w:rsidR="009905FE" w:rsidRPr="00C70B37" w:rsidRDefault="009905FE" w:rsidP="009905FE">
      <w:pPr>
        <w:pStyle w:val="Heading3"/>
      </w:pPr>
      <w:bookmarkStart w:id="66" w:name="_Toc393271473"/>
      <w:bookmarkStart w:id="67" w:name="_Toc402946766"/>
      <w:bookmarkStart w:id="68" w:name="_Toc408481344"/>
      <w:bookmarkStart w:id="69" w:name="_Toc422314550"/>
      <w:bookmarkStart w:id="70" w:name="_Toc438728880"/>
      <w:bookmarkStart w:id="71" w:name="_Toc447109118"/>
      <w:r>
        <w:lastRenderedPageBreak/>
        <w:t>2.3</w:t>
      </w:r>
      <w:r w:rsidRPr="00C70B37">
        <w:t>.</w:t>
      </w:r>
      <w:r w:rsidR="00AF4E60">
        <w:t>2</w:t>
      </w:r>
      <w:r w:rsidRPr="00C70B37">
        <w:tab/>
        <w:t>Enzyme nomenclature</w:t>
      </w:r>
      <w:bookmarkEnd w:id="66"/>
      <w:bookmarkEnd w:id="67"/>
      <w:bookmarkEnd w:id="68"/>
      <w:bookmarkEnd w:id="69"/>
      <w:bookmarkEnd w:id="70"/>
      <w:bookmarkEnd w:id="71"/>
    </w:p>
    <w:p w14:paraId="16787DF8" w14:textId="13F33C5B" w:rsidR="009905FE" w:rsidRDefault="009905FE" w:rsidP="009905FE">
      <w:pPr>
        <w:rPr>
          <w:lang w:bidi="ar-SA"/>
        </w:rPr>
      </w:pPr>
      <w:r w:rsidRPr="00C70B37">
        <w:rPr>
          <w:lang w:bidi="ar-SA"/>
        </w:rPr>
        <w:t xml:space="preserve">FSANZ noted that the International Union of Biochemistry and Molecular Biology (IUBMB), the internationally recognised authority for enzyme nomenclature, uses the ‘accepted’ name ‘glutaminase’ for enzymes with an EC number of </w:t>
      </w:r>
      <w:r w:rsidRPr="00C70B37">
        <w:rPr>
          <w:lang w:val="en-AU" w:eastAsia="en-AU"/>
        </w:rPr>
        <w:t>3.5.1.2 (IUBMB</w:t>
      </w:r>
      <w:r>
        <w:rPr>
          <w:lang w:val="en-AU" w:eastAsia="en-AU"/>
        </w:rPr>
        <w:t>,</w:t>
      </w:r>
      <w:r w:rsidRPr="00C70B37">
        <w:rPr>
          <w:lang w:val="en-AU" w:eastAsia="en-AU"/>
        </w:rPr>
        <w:t xml:space="preserve"> 2015)</w:t>
      </w:r>
      <w:r>
        <w:rPr>
          <w:lang w:bidi="ar-SA"/>
        </w:rPr>
        <w:t>. FSANZ used this name for the drafting for the Code (see Attachment A)</w:t>
      </w:r>
      <w:r w:rsidRPr="00C70B37">
        <w:rPr>
          <w:lang w:bidi="ar-SA"/>
        </w:rPr>
        <w:t>.</w:t>
      </w:r>
    </w:p>
    <w:p w14:paraId="1434C381" w14:textId="6CB7C577" w:rsidR="009905FE" w:rsidRPr="00C70B37" w:rsidRDefault="009905FE" w:rsidP="009905FE">
      <w:pPr>
        <w:pStyle w:val="Heading3"/>
      </w:pPr>
      <w:bookmarkStart w:id="72" w:name="_Toc422314551"/>
      <w:bookmarkStart w:id="73" w:name="_Toc438728881"/>
      <w:bookmarkStart w:id="74" w:name="_Toc447109119"/>
      <w:r w:rsidRPr="00C70B37">
        <w:t>2.</w:t>
      </w:r>
      <w:r w:rsidR="00B273E0">
        <w:t>3</w:t>
      </w:r>
      <w:r w:rsidRPr="00C70B37">
        <w:t>.</w:t>
      </w:r>
      <w:r w:rsidR="00AF4E60">
        <w:t>3</w:t>
      </w:r>
      <w:r w:rsidRPr="00C70B37">
        <w:tab/>
        <w:t>Labelling considerations</w:t>
      </w:r>
      <w:bookmarkEnd w:id="72"/>
      <w:bookmarkEnd w:id="73"/>
      <w:bookmarkEnd w:id="74"/>
    </w:p>
    <w:p w14:paraId="0E96F045" w14:textId="6920847D" w:rsidR="00A168A0" w:rsidRDefault="00786BB7" w:rsidP="00A168A0">
      <w:r>
        <w:t>P</w:t>
      </w:r>
      <w:r w:rsidR="009905FE" w:rsidRPr="00C70B37">
        <w:t>rocessing aids are</w:t>
      </w:r>
      <w:r>
        <w:t>, in most cases,</w:t>
      </w:r>
      <w:r w:rsidR="009905FE" w:rsidRPr="00C70B37">
        <w:t xml:space="preserve"> exempt from the requirement to be declared in the statement of ingredients in accordance with </w:t>
      </w:r>
      <w:r w:rsidR="009905FE">
        <w:t xml:space="preserve">subsections </w:t>
      </w:r>
      <w:r w:rsidR="009905FE" w:rsidRPr="00C70B37">
        <w:t xml:space="preserve">1.2.4—3(2)(d) and (e) of the Code. Therefore, the use of the enzyme glutaminase as a processing aid would not be declared on the label of the food. </w:t>
      </w:r>
      <w:r w:rsidR="00A168A0">
        <w:t xml:space="preserve">As the risk assessment </w:t>
      </w:r>
      <w:r w:rsidR="00A06FBF">
        <w:t xml:space="preserve">has </w:t>
      </w:r>
      <w:r w:rsidR="00A168A0">
        <w:t>conclude</w:t>
      </w:r>
      <w:r w:rsidR="00E94938">
        <w:t>d</w:t>
      </w:r>
      <w:r w:rsidR="00A168A0">
        <w:t xml:space="preserve"> that </w:t>
      </w:r>
      <w:r w:rsidR="002B6AD9">
        <w:t xml:space="preserve">there </w:t>
      </w:r>
      <w:r w:rsidR="00A06FBF">
        <w:t xml:space="preserve">are </w:t>
      </w:r>
      <w:r w:rsidR="002B6AD9">
        <w:t xml:space="preserve">no public health </w:t>
      </w:r>
      <w:r w:rsidR="00A168A0">
        <w:t>and safety concerns relating to the use of the enzyme glutaminase</w:t>
      </w:r>
      <w:r w:rsidR="002B6AD9">
        <w:t xml:space="preserve"> </w:t>
      </w:r>
      <w:r w:rsidR="00E94938">
        <w:t xml:space="preserve">as a </w:t>
      </w:r>
      <w:r w:rsidR="002B6AD9">
        <w:t>processing aid</w:t>
      </w:r>
      <w:r w:rsidR="00E94938">
        <w:t>, FSANZ consider</w:t>
      </w:r>
      <w:r w:rsidR="00A06FBF">
        <w:t>s</w:t>
      </w:r>
      <w:r w:rsidR="00A168A0">
        <w:t xml:space="preserve"> that the existing exemption in the Code </w:t>
      </w:r>
      <w:r w:rsidR="00A06FBF">
        <w:t>is</w:t>
      </w:r>
      <w:r w:rsidR="00A168A0">
        <w:t xml:space="preserve"> appropriate for the use of the enzyme in foods. </w:t>
      </w:r>
    </w:p>
    <w:p w14:paraId="1928BD93" w14:textId="77777777" w:rsidR="00786BB7" w:rsidRDefault="00786BB7" w:rsidP="009905FE"/>
    <w:p w14:paraId="4218A53B" w14:textId="480E6FCC" w:rsidR="009905FE" w:rsidRDefault="009001AF" w:rsidP="009905FE">
      <w:r>
        <w:t>T</w:t>
      </w:r>
      <w:r w:rsidR="009905FE">
        <w:t xml:space="preserve">he use of glutaminase </w:t>
      </w:r>
      <w:r w:rsidR="00786BB7">
        <w:t xml:space="preserve">is </w:t>
      </w:r>
      <w:r w:rsidR="009905FE">
        <w:t xml:space="preserve">one of a number of commercial methods used to increase the glutamate content of certain food products that already contain glutamate, namely seasoning </w:t>
      </w:r>
      <w:r w:rsidR="009905FE" w:rsidRPr="00C70B37">
        <w:t>ingredients (e.g. yeast extract or hydrolysed vegetable proteins) and food products used as seasonings (e.g. soy sauce)</w:t>
      </w:r>
      <w:r w:rsidR="009905FE">
        <w:t xml:space="preserve">. These types of food products are generally well-recognised for </w:t>
      </w:r>
      <w:r w:rsidR="009905FE" w:rsidRPr="00C70B37">
        <w:t>their characteristic savoury flavour</w:t>
      </w:r>
      <w:r w:rsidR="009905FE">
        <w:t xml:space="preserve"> that the high-glutamate content imparts</w:t>
      </w:r>
      <w:r w:rsidR="009905FE" w:rsidRPr="00C70B37">
        <w:t>.</w:t>
      </w:r>
      <w:r w:rsidR="009905FE">
        <w:t xml:space="preserve"> </w:t>
      </w:r>
    </w:p>
    <w:p w14:paraId="4687AE56" w14:textId="77777777" w:rsidR="009905FE" w:rsidRDefault="009905FE" w:rsidP="009905FE"/>
    <w:p w14:paraId="484A879D" w14:textId="3EE949C6" w:rsidR="009905FE" w:rsidRDefault="009905FE" w:rsidP="009905FE">
      <w:r>
        <w:t>As</w:t>
      </w:r>
      <w:r w:rsidRPr="005A5E29">
        <w:t xml:space="preserve"> for other commercial methods</w:t>
      </w:r>
      <w:r>
        <w:t xml:space="preserve"> currently used to increase the glutamate content of certain foods</w:t>
      </w:r>
      <w:r w:rsidRPr="005A5E29">
        <w:t>, the</w:t>
      </w:r>
      <w:r w:rsidRPr="00CD548E">
        <w:t xml:space="preserve"> glutamate formed as a result of the enzymatic conversion of L-glutamine </w:t>
      </w:r>
      <w:r>
        <w:t>would</w:t>
      </w:r>
      <w:r w:rsidRPr="00CD548E">
        <w:t xml:space="preserve"> not be declared</w:t>
      </w:r>
      <w:r>
        <w:t xml:space="preserve"> </w:t>
      </w:r>
      <w:r w:rsidRPr="00CD548E">
        <w:t>on the label of the food</w:t>
      </w:r>
      <w:r>
        <w:t>.</w:t>
      </w:r>
    </w:p>
    <w:p w14:paraId="6E416641" w14:textId="0C417E4C" w:rsidR="009905FE" w:rsidRPr="00CD548E" w:rsidRDefault="009905FE" w:rsidP="009905FE">
      <w:pPr>
        <w:pStyle w:val="Heading4"/>
      </w:pPr>
      <w:r w:rsidRPr="00CD548E">
        <w:t>2.</w:t>
      </w:r>
      <w:r w:rsidR="00786BB7">
        <w:t>3</w:t>
      </w:r>
      <w:r w:rsidRPr="00CD548E">
        <w:t>.</w:t>
      </w:r>
      <w:r w:rsidR="00AF4E60">
        <w:t>3</w:t>
      </w:r>
      <w:r w:rsidRPr="00CD548E">
        <w:t>.1</w:t>
      </w:r>
      <w:r w:rsidRPr="00CD548E">
        <w:tab/>
        <w:t xml:space="preserve">Mandatory declaration of certain substances </w:t>
      </w:r>
    </w:p>
    <w:p w14:paraId="5DFCABBF" w14:textId="77777777" w:rsidR="009905FE" w:rsidRPr="00CD548E" w:rsidRDefault="009905FE" w:rsidP="009905FE">
      <w:pPr>
        <w:rPr>
          <w:lang w:eastAsia="en-AU" w:bidi="ar-SA"/>
        </w:rPr>
      </w:pPr>
      <w:r w:rsidRPr="00CD548E">
        <w:rPr>
          <w:lang w:eastAsia="en-AU" w:bidi="ar-SA"/>
        </w:rPr>
        <w:t xml:space="preserve">Lactose, defatted soybean, soybean oil and dextrin (which may be produced from wheat starch) are raw materials used as fermentation media in the production of the enzyme. </w:t>
      </w:r>
    </w:p>
    <w:p w14:paraId="41559A06" w14:textId="77777777" w:rsidR="009905FE" w:rsidRPr="00605EF0" w:rsidRDefault="009905FE" w:rsidP="009905FE">
      <w:pPr>
        <w:rPr>
          <w:lang w:eastAsia="en-AU" w:bidi="ar-SA"/>
        </w:rPr>
      </w:pPr>
    </w:p>
    <w:p w14:paraId="55C4BEB2" w14:textId="2142F89A" w:rsidR="00E375BE" w:rsidRDefault="009905FE" w:rsidP="009905FE">
      <w:pPr>
        <w:rPr>
          <w:rFonts w:cs="Arial"/>
        </w:rPr>
      </w:pPr>
      <w:r w:rsidRPr="00CD548E">
        <w:rPr>
          <w:lang w:eastAsia="en-AU" w:bidi="ar-SA"/>
        </w:rPr>
        <w:t xml:space="preserve">The presence of these milk, soybean or wheat products in the final food as a component of the enzyme </w:t>
      </w:r>
      <w:r w:rsidR="00C70B29">
        <w:rPr>
          <w:lang w:eastAsia="en-AU" w:bidi="ar-SA"/>
        </w:rPr>
        <w:t>processing aid</w:t>
      </w:r>
      <w:r w:rsidR="00C70B29" w:rsidRPr="00CD548E">
        <w:rPr>
          <w:lang w:eastAsia="en-AU" w:bidi="ar-SA"/>
        </w:rPr>
        <w:t xml:space="preserve"> </w:t>
      </w:r>
      <w:r w:rsidRPr="00CD548E">
        <w:rPr>
          <w:lang w:eastAsia="en-AU" w:bidi="ar-SA"/>
        </w:rPr>
        <w:t>would require mandatory declaration in accordance with section 1.2.3—4 (</w:t>
      </w:r>
      <w:r w:rsidR="00392149">
        <w:rPr>
          <w:lang w:eastAsia="en-AU" w:bidi="ar-SA"/>
        </w:rPr>
        <w:t>Mandatory declaration of certain foods or substances in food</w:t>
      </w:r>
      <w:r w:rsidRPr="00CD548E">
        <w:rPr>
          <w:lang w:eastAsia="en-AU" w:bidi="ar-SA"/>
        </w:rPr>
        <w:t xml:space="preserve">) of the Code. </w:t>
      </w:r>
    </w:p>
    <w:p w14:paraId="4758FB70" w14:textId="15F89898" w:rsidR="00E375BE" w:rsidRPr="00C70B37" w:rsidRDefault="00E375BE" w:rsidP="00E375BE">
      <w:pPr>
        <w:pStyle w:val="Heading3"/>
      </w:pPr>
      <w:bookmarkStart w:id="75" w:name="_Toc447109120"/>
      <w:r w:rsidRPr="00C70B37">
        <w:t>2.</w:t>
      </w:r>
      <w:r>
        <w:t>3</w:t>
      </w:r>
      <w:r w:rsidRPr="00C70B37">
        <w:t>.</w:t>
      </w:r>
      <w:r w:rsidR="00AF4E60">
        <w:t>4</w:t>
      </w:r>
      <w:r w:rsidRPr="00C70B37">
        <w:tab/>
      </w:r>
      <w:r>
        <w:t>Cost benefit analysis</w:t>
      </w:r>
      <w:bookmarkEnd w:id="75"/>
    </w:p>
    <w:p w14:paraId="7B8248A6" w14:textId="6921D8CF" w:rsidR="00E375BE" w:rsidRPr="00E375BE" w:rsidRDefault="00E375BE" w:rsidP="00E375BE">
      <w:pPr>
        <w:rPr>
          <w:rFonts w:cs="Arial"/>
        </w:rPr>
      </w:pPr>
      <w:r>
        <w:rPr>
          <w:rFonts w:cs="Arial"/>
        </w:rPr>
        <w:t xml:space="preserve">FSANZ undertook a </w:t>
      </w:r>
      <w:r w:rsidR="00002208">
        <w:rPr>
          <w:rFonts w:cs="Arial"/>
        </w:rPr>
        <w:t>basic</w:t>
      </w:r>
      <w:r>
        <w:rPr>
          <w:rFonts w:cs="Arial"/>
        </w:rPr>
        <w:t xml:space="preserve"> cost benefit analysis for this Application and </w:t>
      </w:r>
      <w:r w:rsidRPr="00E375BE">
        <w:rPr>
          <w:rFonts w:cs="Arial"/>
        </w:rPr>
        <w:t xml:space="preserve">concluded that permitting the use of </w:t>
      </w:r>
      <w:r>
        <w:rPr>
          <w:rFonts w:cs="Arial"/>
        </w:rPr>
        <w:t xml:space="preserve">glutaminase sourced from </w:t>
      </w:r>
      <w:r w:rsidRPr="00D032FF">
        <w:rPr>
          <w:rFonts w:cs="Arial"/>
          <w:i/>
          <w:szCs w:val="20"/>
        </w:rPr>
        <w:t>B.</w:t>
      </w:r>
      <w:r>
        <w:rPr>
          <w:rFonts w:cs="Arial"/>
          <w:i/>
          <w:szCs w:val="20"/>
        </w:rPr>
        <w:t> </w:t>
      </w:r>
      <w:r w:rsidRPr="00D032FF">
        <w:rPr>
          <w:rFonts w:cs="Arial"/>
          <w:i/>
          <w:szCs w:val="20"/>
        </w:rPr>
        <w:t>amyloliquefaciens</w:t>
      </w:r>
      <w:r>
        <w:rPr>
          <w:rFonts w:cs="Arial"/>
        </w:rPr>
        <w:t xml:space="preserve"> </w:t>
      </w:r>
      <w:r w:rsidRPr="00E375BE">
        <w:rPr>
          <w:rFonts w:cs="Arial"/>
        </w:rPr>
        <w:t>as a food processing aid had benefits to the food industry, including manufacturers</w:t>
      </w:r>
      <w:r w:rsidR="003B75BA">
        <w:rPr>
          <w:rFonts w:cs="Arial"/>
        </w:rPr>
        <w:t xml:space="preserve"> of </w:t>
      </w:r>
      <w:r w:rsidR="003B75BA">
        <w:t xml:space="preserve">seasoning </w:t>
      </w:r>
      <w:r w:rsidR="003B75BA" w:rsidRPr="00C70B37">
        <w:t>ingredients and food products used as seasonings</w:t>
      </w:r>
      <w:r w:rsidRPr="00E375BE">
        <w:rPr>
          <w:rFonts w:cs="Arial"/>
        </w:rPr>
        <w:t>.</w:t>
      </w:r>
      <w:r w:rsidR="003B75BA">
        <w:rPr>
          <w:rFonts w:cs="Arial"/>
        </w:rPr>
        <w:t xml:space="preserve"> </w:t>
      </w:r>
      <w:r w:rsidRPr="00E375BE">
        <w:rPr>
          <w:rFonts w:cs="Arial"/>
        </w:rPr>
        <w:t>The</w:t>
      </w:r>
      <w:r w:rsidR="003B75BA">
        <w:rPr>
          <w:rFonts w:cs="Arial"/>
        </w:rPr>
        <w:t xml:space="preserve"> </w:t>
      </w:r>
      <w:r w:rsidRPr="00E375BE">
        <w:rPr>
          <w:rFonts w:cs="Arial"/>
        </w:rPr>
        <w:t xml:space="preserve">benefits </w:t>
      </w:r>
      <w:r w:rsidR="003B75BA">
        <w:rPr>
          <w:rFonts w:cs="Arial"/>
        </w:rPr>
        <w:t xml:space="preserve">included </w:t>
      </w:r>
      <w:r w:rsidR="003B75BA" w:rsidRPr="003B75BA">
        <w:rPr>
          <w:rFonts w:cs="Arial"/>
        </w:rPr>
        <w:t xml:space="preserve">a high glutamate yield, excellent thermal stability, and stability during storage. A comparison of the glutaminase preparation against other methods </w:t>
      </w:r>
      <w:r w:rsidR="003B75BA">
        <w:rPr>
          <w:rFonts w:cs="Arial"/>
        </w:rPr>
        <w:t xml:space="preserve">for increasing the glutamate content of certain foods </w:t>
      </w:r>
      <w:r w:rsidR="003B75BA" w:rsidRPr="003B75BA">
        <w:rPr>
          <w:rFonts w:cs="Arial"/>
        </w:rPr>
        <w:t>indicate</w:t>
      </w:r>
      <w:r w:rsidR="003B75BA">
        <w:rPr>
          <w:rFonts w:cs="Arial"/>
        </w:rPr>
        <w:t>d</w:t>
      </w:r>
      <w:r w:rsidR="003B75BA" w:rsidRPr="003B75BA">
        <w:rPr>
          <w:rFonts w:cs="Arial"/>
        </w:rPr>
        <w:t xml:space="preserve"> that there </w:t>
      </w:r>
      <w:r w:rsidR="003B75BA">
        <w:rPr>
          <w:rFonts w:cs="Arial"/>
        </w:rPr>
        <w:t>were</w:t>
      </w:r>
      <w:r w:rsidR="003B75BA" w:rsidRPr="003B75BA">
        <w:rPr>
          <w:rFonts w:cs="Arial"/>
        </w:rPr>
        <w:t xml:space="preserve"> a number of potential advantages</w:t>
      </w:r>
      <w:r w:rsidR="003B75BA">
        <w:rPr>
          <w:rFonts w:cs="Arial"/>
        </w:rPr>
        <w:t>. These were</w:t>
      </w:r>
      <w:r w:rsidR="003B75BA" w:rsidRPr="003B75BA">
        <w:rPr>
          <w:rFonts w:cs="Arial"/>
        </w:rPr>
        <w:t xml:space="preserve"> milder processing conditions and a desirable amino acid profile in the protein hydrolysates due to the specificity of the enzyme</w:t>
      </w:r>
      <w:r w:rsidR="003B75BA">
        <w:rPr>
          <w:rFonts w:cs="Arial"/>
        </w:rPr>
        <w:t xml:space="preserve">. </w:t>
      </w:r>
      <w:r w:rsidRPr="00E375BE">
        <w:rPr>
          <w:rFonts w:cs="Arial"/>
        </w:rPr>
        <w:t>There were no costs to different stakeholders that overrode these benefits. There were no benefits in rejecting the Application.</w:t>
      </w:r>
    </w:p>
    <w:p w14:paraId="5029F553" w14:textId="77777777" w:rsidR="00E375BE" w:rsidRPr="00E375BE" w:rsidRDefault="00E375BE" w:rsidP="00E375BE">
      <w:pPr>
        <w:rPr>
          <w:rFonts w:cs="Arial"/>
        </w:rPr>
      </w:pPr>
    </w:p>
    <w:p w14:paraId="3CC64312" w14:textId="14751DBD" w:rsidR="00605EF0" w:rsidRDefault="00E375BE" w:rsidP="00E375BE">
      <w:pPr>
        <w:rPr>
          <w:rFonts w:cs="Arial"/>
        </w:rPr>
      </w:pPr>
      <w:r w:rsidRPr="00E375BE">
        <w:rPr>
          <w:rFonts w:cs="Arial"/>
        </w:rPr>
        <w:t xml:space="preserve">FSANZ concluded that the direct and indirect benefits that would arise from a food regulatory measure developed or varied as a result of the Application outweighed the costs to the community, Government </w:t>
      </w:r>
      <w:r w:rsidR="003B75BA">
        <w:rPr>
          <w:rFonts w:cs="Arial"/>
        </w:rPr>
        <w:t>and</w:t>
      </w:r>
      <w:r w:rsidRPr="00E375BE">
        <w:rPr>
          <w:rFonts w:cs="Arial"/>
        </w:rPr>
        <w:t xml:space="preserve"> industry that would arise from the development or variation of </w:t>
      </w:r>
      <w:r w:rsidR="003B75BA">
        <w:rPr>
          <w:rFonts w:cs="Arial"/>
        </w:rPr>
        <w:t xml:space="preserve">such a </w:t>
      </w:r>
      <w:r w:rsidRPr="00E375BE">
        <w:rPr>
          <w:rFonts w:cs="Arial"/>
        </w:rPr>
        <w:t xml:space="preserve">food regulatory measure. </w:t>
      </w:r>
      <w:r w:rsidR="00605EF0">
        <w:rPr>
          <w:rFonts w:cs="Arial"/>
        </w:rPr>
        <w:br w:type="page"/>
      </w:r>
    </w:p>
    <w:p w14:paraId="11674640" w14:textId="038BC928" w:rsidR="00E375BE" w:rsidRDefault="00E375BE" w:rsidP="00E375BE">
      <w:pPr>
        <w:pStyle w:val="Heading3"/>
        <w:rPr>
          <w:rFonts w:cs="Arial"/>
        </w:rPr>
      </w:pPr>
      <w:bookmarkStart w:id="76" w:name="_Toc447109121"/>
      <w:r w:rsidRPr="00C70B37">
        <w:lastRenderedPageBreak/>
        <w:t>2.</w:t>
      </w:r>
      <w:r>
        <w:t>3</w:t>
      </w:r>
      <w:r w:rsidRPr="00C70B37">
        <w:t>.</w:t>
      </w:r>
      <w:r w:rsidR="00AF4E60">
        <w:t>5</w:t>
      </w:r>
      <w:r w:rsidRPr="00C70B37">
        <w:tab/>
      </w:r>
      <w:r>
        <w:t>Risk management conclusion</w:t>
      </w:r>
      <w:bookmarkEnd w:id="76"/>
    </w:p>
    <w:p w14:paraId="5E89CBDA" w14:textId="552551D3" w:rsidR="00F6142A" w:rsidRDefault="00E375BE" w:rsidP="00E375BE">
      <w:r>
        <w:t xml:space="preserve">The proposed use of </w:t>
      </w:r>
      <w:r w:rsidR="003B75BA">
        <w:t xml:space="preserve">glutaminase sourced from </w:t>
      </w:r>
      <w:r w:rsidR="003B75BA" w:rsidRPr="003B75BA">
        <w:rPr>
          <w:i/>
        </w:rPr>
        <w:t>B. amyloliquefaciens</w:t>
      </w:r>
      <w:r>
        <w:t xml:space="preserve"> as a processing aid, in its prescribed form and usage, is technologically justified. The </w:t>
      </w:r>
      <w:r w:rsidRPr="005319AC">
        <w:t xml:space="preserve">risk assessment conclusions </w:t>
      </w:r>
      <w:r>
        <w:t>indicate</w:t>
      </w:r>
      <w:r w:rsidR="003B75BA">
        <w:t>d</w:t>
      </w:r>
      <w:r>
        <w:t xml:space="preserve"> that there </w:t>
      </w:r>
      <w:r w:rsidR="003B75BA">
        <w:t>were</w:t>
      </w:r>
      <w:r>
        <w:t xml:space="preserve"> no public health and </w:t>
      </w:r>
      <w:r w:rsidRPr="005319AC">
        <w:t xml:space="preserve">safety risks </w:t>
      </w:r>
      <w:r>
        <w:t xml:space="preserve">associated with its </w:t>
      </w:r>
      <w:r w:rsidR="003B75BA">
        <w:t xml:space="preserve">use. </w:t>
      </w:r>
      <w:r w:rsidR="00AF4E60" w:rsidRPr="00AF4E60">
        <w:t xml:space="preserve">The glutaminase preparation has already been permitted for use and marketed in several other major jurisdictions (e.g. Europe and Japan). </w:t>
      </w:r>
      <w:r w:rsidR="003B75BA">
        <w:t>The</w:t>
      </w:r>
      <w:r>
        <w:t xml:space="preserve"> </w:t>
      </w:r>
      <w:r w:rsidR="00B800C6">
        <w:t>basic</w:t>
      </w:r>
      <w:r>
        <w:t xml:space="preserve"> </w:t>
      </w:r>
      <w:r w:rsidR="003B75BA">
        <w:t xml:space="preserve">cost benefit </w:t>
      </w:r>
      <w:r>
        <w:t>analysis indicate</w:t>
      </w:r>
      <w:r w:rsidR="003B75BA">
        <w:t>d</w:t>
      </w:r>
      <w:r>
        <w:t xml:space="preserve"> that</w:t>
      </w:r>
      <w:r w:rsidR="00FE1A81">
        <w:t xml:space="preserve"> the</w:t>
      </w:r>
      <w:r>
        <w:t xml:space="preserve"> benefits </w:t>
      </w:r>
      <w:r w:rsidR="00FE1A81">
        <w:t>accrued from permitting the use of this enzyme would outweigh any costs</w:t>
      </w:r>
      <w:r>
        <w:t xml:space="preserve">. Based on this information, the preferred risk management option </w:t>
      </w:r>
      <w:r w:rsidR="00FE1A81">
        <w:t>was</w:t>
      </w:r>
      <w:r>
        <w:t xml:space="preserve"> to prepare a draft variation to Schedule 18 </w:t>
      </w:r>
      <w:r w:rsidR="0051218F">
        <w:t xml:space="preserve">of the </w:t>
      </w:r>
      <w:r>
        <w:t>Code.</w:t>
      </w:r>
    </w:p>
    <w:p w14:paraId="349CC687" w14:textId="55084270" w:rsidR="00F6142A" w:rsidRDefault="00ED257F" w:rsidP="00ED257F">
      <w:pPr>
        <w:pStyle w:val="Heading1"/>
      </w:pPr>
      <w:bookmarkStart w:id="77" w:name="_Toc447109122"/>
      <w:r>
        <w:t>3</w:t>
      </w:r>
      <w:r w:rsidR="00F6142A">
        <w:tab/>
      </w:r>
      <w:r w:rsidR="00F6142A" w:rsidRPr="00932F14">
        <w:t>Decision</w:t>
      </w:r>
      <w:bookmarkEnd w:id="77"/>
    </w:p>
    <w:p w14:paraId="7D78EA61" w14:textId="7F88D5A5" w:rsidR="00F6142A" w:rsidRDefault="00F6142A" w:rsidP="00F6142A">
      <w:r>
        <w:t xml:space="preserve">The draft variation as proposed following assessment was approved without change and is at Attachment A. </w:t>
      </w:r>
      <w:r w:rsidRPr="003A7725">
        <w:t xml:space="preserve">The </w:t>
      </w:r>
      <w:r>
        <w:t xml:space="preserve">variation takes effect on </w:t>
      </w:r>
      <w:r w:rsidR="00605EF0">
        <w:t>g</w:t>
      </w:r>
      <w:r>
        <w:t>azettal.</w:t>
      </w:r>
      <w:r w:rsidRPr="007C22CB">
        <w:t xml:space="preserve"> </w:t>
      </w:r>
    </w:p>
    <w:p w14:paraId="22C47411" w14:textId="77777777" w:rsidR="00F6142A" w:rsidRDefault="00F6142A" w:rsidP="00F6142A"/>
    <w:p w14:paraId="50794EB0" w14:textId="739E7020" w:rsidR="00F6142A" w:rsidRPr="00C2661F" w:rsidRDefault="00F6142A" w:rsidP="00E375BE">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1446D229" w14:textId="0F98A3A7" w:rsidR="002C1A3B" w:rsidRPr="008C301D" w:rsidRDefault="00ED257F" w:rsidP="00ED257F">
      <w:pPr>
        <w:pStyle w:val="Heading1"/>
      </w:pPr>
      <w:bookmarkStart w:id="78" w:name="_Toc447109123"/>
      <w:r>
        <w:t>4</w:t>
      </w:r>
      <w:r w:rsidR="002C1A3B" w:rsidRPr="008C301D">
        <w:tab/>
        <w:t>Risk communication</w:t>
      </w:r>
      <w:bookmarkEnd w:id="58"/>
      <w:bookmarkEnd w:id="59"/>
      <w:bookmarkEnd w:id="78"/>
      <w:r w:rsidR="002C1A3B" w:rsidRPr="008C301D">
        <w:t xml:space="preserve"> </w:t>
      </w:r>
    </w:p>
    <w:p w14:paraId="7BF92058" w14:textId="54042586" w:rsidR="002C1A3B" w:rsidRPr="00786BB7" w:rsidRDefault="00ED257F" w:rsidP="002719A8">
      <w:pPr>
        <w:pStyle w:val="Heading2"/>
      </w:pPr>
      <w:bookmarkStart w:id="79" w:name="_Toc300933437"/>
      <w:bookmarkStart w:id="80" w:name="_Toc370223475"/>
      <w:bookmarkStart w:id="81" w:name="_Toc370225390"/>
      <w:bookmarkStart w:id="82" w:name="_Toc447109124"/>
      <w:r>
        <w:t>4</w:t>
      </w:r>
      <w:r w:rsidR="00F6142A">
        <w:t>.</w:t>
      </w:r>
      <w:r>
        <w:t>1</w:t>
      </w:r>
      <w:r w:rsidR="002C1A3B" w:rsidRPr="00786BB7">
        <w:tab/>
        <w:t>Consultation</w:t>
      </w:r>
      <w:bookmarkEnd w:id="79"/>
      <w:bookmarkEnd w:id="80"/>
      <w:bookmarkEnd w:id="81"/>
      <w:bookmarkEnd w:id="82"/>
    </w:p>
    <w:p w14:paraId="51BE3951" w14:textId="518B8A7C" w:rsidR="00786BB7" w:rsidRPr="00786BB7" w:rsidRDefault="002C1A3B" w:rsidP="00786BB7">
      <w:pPr>
        <w:rPr>
          <w:szCs w:val="22"/>
        </w:rPr>
      </w:pPr>
      <w:r w:rsidRPr="00A670A7">
        <w:rPr>
          <w:szCs w:val="22"/>
        </w:rPr>
        <w:t xml:space="preserve">Consultation is a key part of FSANZ’s standards development process. </w:t>
      </w:r>
      <w:r w:rsidRPr="00786BB7">
        <w:rPr>
          <w:szCs w:val="22"/>
        </w:rPr>
        <w:t xml:space="preserve">FSANZ acknowledges the time taken by individuals and organisations to make submissions on this </w:t>
      </w:r>
      <w:r w:rsidR="00786BB7" w:rsidRPr="00786BB7">
        <w:rPr>
          <w:szCs w:val="22"/>
        </w:rPr>
        <w:t xml:space="preserve">Application. </w:t>
      </w:r>
      <w:r w:rsidRPr="002C1A3B">
        <w:rPr>
          <w:szCs w:val="22"/>
        </w:rPr>
        <w:t>Every submission on</w:t>
      </w:r>
      <w:r w:rsidR="00FF1B03">
        <w:rPr>
          <w:szCs w:val="22"/>
        </w:rPr>
        <w:t xml:space="preserve"> an application or proposal 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r w:rsidR="00786BB7">
        <w:rPr>
          <w:szCs w:val="22"/>
        </w:rPr>
        <w:t xml:space="preserve">FSANZ called </w:t>
      </w:r>
      <w:r w:rsidR="00786BB7" w:rsidRPr="00786BB7">
        <w:rPr>
          <w:szCs w:val="22"/>
        </w:rPr>
        <w:t xml:space="preserve">for public comment </w:t>
      </w:r>
      <w:r w:rsidR="00786BB7" w:rsidRPr="00495F53">
        <w:rPr>
          <w:szCs w:val="22"/>
        </w:rPr>
        <w:t xml:space="preserve">between </w:t>
      </w:r>
      <w:r w:rsidR="00495F53" w:rsidRPr="00495F53">
        <w:rPr>
          <w:szCs w:val="22"/>
        </w:rPr>
        <w:t>18</w:t>
      </w:r>
      <w:r w:rsidR="00786BB7" w:rsidRPr="00495F53">
        <w:rPr>
          <w:szCs w:val="22"/>
        </w:rPr>
        <w:t xml:space="preserve"> January 201</w:t>
      </w:r>
      <w:r w:rsidR="00495F53" w:rsidRPr="00495F53">
        <w:rPr>
          <w:szCs w:val="22"/>
        </w:rPr>
        <w:t>6</w:t>
      </w:r>
      <w:r w:rsidR="00786BB7" w:rsidRPr="00495F53">
        <w:rPr>
          <w:szCs w:val="22"/>
        </w:rPr>
        <w:t xml:space="preserve"> and </w:t>
      </w:r>
      <w:r w:rsidR="00495F53" w:rsidRPr="00495F53">
        <w:rPr>
          <w:szCs w:val="22"/>
        </w:rPr>
        <w:t>4</w:t>
      </w:r>
      <w:r w:rsidR="00786BB7" w:rsidRPr="00495F53">
        <w:rPr>
          <w:szCs w:val="22"/>
        </w:rPr>
        <w:t xml:space="preserve"> March 201</w:t>
      </w:r>
      <w:r w:rsidR="00495F53" w:rsidRPr="00495F53">
        <w:rPr>
          <w:szCs w:val="22"/>
        </w:rPr>
        <w:t>6</w:t>
      </w:r>
      <w:r w:rsidR="00786BB7" w:rsidRPr="00495F53">
        <w:rPr>
          <w:szCs w:val="22"/>
        </w:rPr>
        <w:t xml:space="preserve"> after</w:t>
      </w:r>
      <w:r w:rsidR="00786BB7" w:rsidRPr="00786BB7">
        <w:rPr>
          <w:szCs w:val="22"/>
        </w:rPr>
        <w:t xml:space="preserve"> assessing the Application. All three submissions that were received supported the draft variation.</w:t>
      </w:r>
    </w:p>
    <w:p w14:paraId="09A9BA96" w14:textId="77777777" w:rsidR="00786BB7" w:rsidRPr="00786BB7" w:rsidRDefault="00786BB7" w:rsidP="00786BB7">
      <w:pPr>
        <w:rPr>
          <w:szCs w:val="22"/>
        </w:rPr>
      </w:pPr>
    </w:p>
    <w:p w14:paraId="4F67BE05" w14:textId="77777777" w:rsidR="00786BB7" w:rsidRPr="00786BB7" w:rsidRDefault="00786BB7" w:rsidP="00786BB7">
      <w:pPr>
        <w:rPr>
          <w:szCs w:val="22"/>
        </w:rPr>
      </w:pPr>
      <w:r w:rsidRPr="00786BB7">
        <w:rPr>
          <w:szCs w:val="22"/>
        </w:rPr>
        <w:t xml:space="preserve">FSANZ developed and applied a basic communication strategy to this Application. The call for submissions was notified via the FSANZ Notification Circular, media release, FSANZ’s social media tools and Food Standards News. </w:t>
      </w:r>
    </w:p>
    <w:p w14:paraId="59F1A220" w14:textId="77777777" w:rsidR="00786BB7" w:rsidRPr="00786BB7" w:rsidRDefault="00786BB7" w:rsidP="00786BB7">
      <w:pPr>
        <w:rPr>
          <w:szCs w:val="22"/>
        </w:rPr>
      </w:pPr>
    </w:p>
    <w:p w14:paraId="25E59D70" w14:textId="77777777" w:rsidR="00786BB7" w:rsidRPr="00786BB7" w:rsidRDefault="00786BB7" w:rsidP="00786BB7">
      <w:pPr>
        <w:rPr>
          <w:szCs w:val="22"/>
        </w:rPr>
      </w:pPr>
      <w:r w:rsidRPr="00786BB7">
        <w:rPr>
          <w:szCs w:val="22"/>
        </w:rPr>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p>
    <w:p w14:paraId="74D5962B" w14:textId="77777777" w:rsidR="00786BB7" w:rsidRPr="00786BB7" w:rsidRDefault="00786BB7" w:rsidP="00786BB7">
      <w:pPr>
        <w:rPr>
          <w:szCs w:val="22"/>
        </w:rPr>
      </w:pPr>
    </w:p>
    <w:p w14:paraId="40EEF093" w14:textId="1A9EC6AE" w:rsidR="00786BB7" w:rsidRPr="00786BB7" w:rsidRDefault="00786BB7" w:rsidP="00786BB7">
      <w:pPr>
        <w:rPr>
          <w:szCs w:val="22"/>
        </w:rPr>
      </w:pPr>
      <w:r w:rsidRPr="00786BB7">
        <w:rPr>
          <w:szCs w:val="22"/>
        </w:rPr>
        <w:t xml:space="preserve">The FSANZ Board considered the draft variation taking into account comments received from the </w:t>
      </w:r>
      <w:r w:rsidR="00023970">
        <w:rPr>
          <w:szCs w:val="22"/>
        </w:rPr>
        <w:t>c</w:t>
      </w:r>
      <w:r w:rsidRPr="00786BB7">
        <w:rPr>
          <w:szCs w:val="22"/>
        </w:rPr>
        <w:t xml:space="preserve">all for </w:t>
      </w:r>
      <w:r w:rsidR="00023970">
        <w:rPr>
          <w:szCs w:val="22"/>
        </w:rPr>
        <w:t>s</w:t>
      </w:r>
      <w:r w:rsidRPr="00786BB7">
        <w:rPr>
          <w:szCs w:val="22"/>
        </w:rPr>
        <w:t>ubmissions.</w:t>
      </w:r>
    </w:p>
    <w:p w14:paraId="2990021C" w14:textId="77777777" w:rsidR="00786BB7" w:rsidRPr="00786BB7" w:rsidRDefault="00786BB7" w:rsidP="00786BB7">
      <w:pPr>
        <w:rPr>
          <w:szCs w:val="22"/>
        </w:rPr>
      </w:pPr>
    </w:p>
    <w:p w14:paraId="14ADA352" w14:textId="6EE6B3A3" w:rsidR="00786BB7" w:rsidRPr="00786BB7" w:rsidRDefault="00786BB7" w:rsidP="00786BB7">
      <w:pPr>
        <w:rPr>
          <w:szCs w:val="22"/>
        </w:rPr>
      </w:pPr>
      <w:r w:rsidRPr="00786BB7">
        <w:rPr>
          <w:szCs w:val="22"/>
        </w:rPr>
        <w:t xml:space="preserve">The Applicant, individuals and organisations that made submissions on this Application </w:t>
      </w:r>
      <w:r w:rsidR="00E70393">
        <w:rPr>
          <w:szCs w:val="22"/>
        </w:rPr>
        <w:t>were</w:t>
      </w:r>
      <w:r w:rsidRPr="00786BB7">
        <w:rPr>
          <w:szCs w:val="22"/>
        </w:rPr>
        <w:t xml:space="preserve"> notified at each stage of the assessment. Subscribers and interested parties </w:t>
      </w:r>
      <w:r w:rsidR="00E70393">
        <w:rPr>
          <w:szCs w:val="22"/>
        </w:rPr>
        <w:t>were</w:t>
      </w:r>
      <w:r w:rsidRPr="00786BB7">
        <w:rPr>
          <w:szCs w:val="22"/>
        </w:rPr>
        <w:t xml:space="preserve"> also notified via email about the availability of reports for public comment. </w:t>
      </w:r>
    </w:p>
    <w:p w14:paraId="645F4EA3" w14:textId="77777777" w:rsidR="00786BB7" w:rsidRPr="00786BB7" w:rsidRDefault="00786BB7" w:rsidP="00786BB7">
      <w:pPr>
        <w:rPr>
          <w:szCs w:val="22"/>
        </w:rPr>
      </w:pPr>
    </w:p>
    <w:p w14:paraId="081C4B0E" w14:textId="23ABB0D9" w:rsidR="00605EF0" w:rsidRDefault="00786BB7" w:rsidP="00786BB7">
      <w:pPr>
        <w:rPr>
          <w:szCs w:val="22"/>
        </w:rPr>
      </w:pPr>
      <w:r w:rsidRPr="00786BB7">
        <w:rPr>
          <w:szCs w:val="22"/>
        </w:rPr>
        <w:t>The FSANZ Board’s decision has been notified to the Australia and New Zealand Ministerial Forum on Food Regulation. If the decision is not subject to a request for a review by Ministers, the Applicant and stakeholders will be notified of the gazettal of the variation to the Code in the national press and on the FSANZ website.</w:t>
      </w:r>
      <w:r w:rsidR="00605EF0">
        <w:rPr>
          <w:szCs w:val="22"/>
        </w:rPr>
        <w:br w:type="page"/>
      </w:r>
    </w:p>
    <w:p w14:paraId="1B1203E0" w14:textId="66D9A1C0" w:rsidR="002C1A3B" w:rsidRPr="002C1A3B" w:rsidRDefault="00ED257F" w:rsidP="00ED257F">
      <w:pPr>
        <w:pStyle w:val="Heading1"/>
      </w:pPr>
      <w:bookmarkStart w:id="83" w:name="_Toc370223477"/>
      <w:bookmarkStart w:id="84" w:name="_Toc370225392"/>
      <w:bookmarkStart w:id="85" w:name="_Toc447109125"/>
      <w:bookmarkStart w:id="86" w:name="_Toc309291816"/>
      <w:bookmarkStart w:id="87" w:name="_Toc300933448"/>
      <w:bookmarkStart w:id="88" w:name="_Toc300933577"/>
      <w:bookmarkStart w:id="89" w:name="_Toc301535601"/>
      <w:bookmarkStart w:id="90" w:name="_Toc309385464"/>
      <w:bookmarkStart w:id="91" w:name="_Toc175381456"/>
      <w:bookmarkEnd w:id="33"/>
      <w:bookmarkEnd w:id="34"/>
      <w:bookmarkEnd w:id="35"/>
      <w:bookmarkEnd w:id="36"/>
      <w:bookmarkEnd w:id="37"/>
      <w:bookmarkEnd w:id="38"/>
      <w:bookmarkEnd w:id="60"/>
      <w:r>
        <w:lastRenderedPageBreak/>
        <w:t>5</w:t>
      </w:r>
      <w:r w:rsidR="002C1A3B" w:rsidRPr="002C1A3B">
        <w:tab/>
        <w:t>FSANZ Act assessment requirements</w:t>
      </w:r>
      <w:bookmarkEnd w:id="83"/>
      <w:bookmarkEnd w:id="84"/>
      <w:bookmarkEnd w:id="85"/>
    </w:p>
    <w:p w14:paraId="1D2B5E53" w14:textId="43ABB33B" w:rsidR="002C1A3B" w:rsidRPr="002C1A3B" w:rsidRDefault="00ED257F" w:rsidP="002719A8">
      <w:pPr>
        <w:pStyle w:val="Heading2"/>
      </w:pPr>
      <w:bookmarkStart w:id="92" w:name="_Toc370223478"/>
      <w:bookmarkStart w:id="93" w:name="_Toc370225393"/>
      <w:bookmarkStart w:id="94" w:name="_Toc447109126"/>
      <w:bookmarkEnd w:id="86"/>
      <w:bookmarkEnd w:id="87"/>
      <w:bookmarkEnd w:id="88"/>
      <w:bookmarkEnd w:id="89"/>
      <w:bookmarkEnd w:id="90"/>
      <w:r>
        <w:t>5</w:t>
      </w:r>
      <w:r w:rsidR="00F6142A">
        <w:t>.</w:t>
      </w:r>
      <w:r w:rsidR="002C1A3B" w:rsidRPr="002C1A3B">
        <w:t>1</w:t>
      </w:r>
      <w:r w:rsidR="002C1A3B" w:rsidRPr="002C1A3B">
        <w:tab/>
        <w:t xml:space="preserve">Section </w:t>
      </w:r>
      <w:bookmarkEnd w:id="92"/>
      <w:bookmarkEnd w:id="93"/>
      <w:r w:rsidR="001042CF">
        <w:t>29</w:t>
      </w:r>
      <w:bookmarkEnd w:id="94"/>
    </w:p>
    <w:p w14:paraId="23CE679A" w14:textId="37589943" w:rsidR="002C1A3B" w:rsidRPr="002C1A3B" w:rsidRDefault="00ED257F" w:rsidP="002719A8">
      <w:pPr>
        <w:pStyle w:val="Heading3"/>
      </w:pPr>
      <w:bookmarkStart w:id="95" w:name="_Toc447109127"/>
      <w:r>
        <w:t>5</w:t>
      </w:r>
      <w:r w:rsidR="002C1A3B" w:rsidRPr="002C1A3B">
        <w:t>.1.1</w:t>
      </w:r>
      <w:r w:rsidR="002C1A3B" w:rsidRPr="002C1A3B">
        <w:tab/>
        <w:t>Cost benefit analysis</w:t>
      </w:r>
      <w:bookmarkEnd w:id="95"/>
    </w:p>
    <w:p w14:paraId="718EF908" w14:textId="6120DE48" w:rsidR="001042CF" w:rsidRPr="0071143C" w:rsidRDefault="001042CF" w:rsidP="001042CF">
      <w:pPr>
        <w:rPr>
          <w:bCs/>
        </w:rPr>
      </w:pPr>
      <w:r w:rsidRPr="0071143C">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w:t>
      </w:r>
      <w:r>
        <w:rPr>
          <w:bCs/>
        </w:rPr>
        <w:t>.</w:t>
      </w:r>
      <w:r w:rsidRPr="004B372E">
        <w:rPr>
          <w:bCs/>
        </w:rPr>
        <w:t xml:space="preserve"> </w:t>
      </w:r>
      <w:r w:rsidR="005C0995">
        <w:rPr>
          <w:bCs/>
        </w:rPr>
        <w:t>In any case, FSANZ conducted a basic cost analysis, which</w:t>
      </w:r>
      <w:r>
        <w:rPr>
          <w:bCs/>
        </w:rPr>
        <w:t xml:space="preserve"> is described in Section 2.3.</w:t>
      </w:r>
      <w:r w:rsidR="00476AC4">
        <w:rPr>
          <w:bCs/>
        </w:rPr>
        <w:t>4</w:t>
      </w:r>
      <w:r>
        <w:rPr>
          <w:bCs/>
        </w:rPr>
        <w:t xml:space="preserve"> above.</w:t>
      </w:r>
    </w:p>
    <w:p w14:paraId="534EB5BD" w14:textId="4265CE62" w:rsidR="002C1A3B" w:rsidRPr="002C1A3B" w:rsidRDefault="00ED257F" w:rsidP="002719A8">
      <w:pPr>
        <w:pStyle w:val="Heading3"/>
      </w:pPr>
      <w:bookmarkStart w:id="96" w:name="_Toc447109128"/>
      <w:r>
        <w:t>5</w:t>
      </w:r>
      <w:r w:rsidR="002C1A3B" w:rsidRPr="002C1A3B">
        <w:t>.1.2</w:t>
      </w:r>
      <w:r w:rsidR="002C1A3B" w:rsidRPr="002C1A3B">
        <w:tab/>
        <w:t>Other measures</w:t>
      </w:r>
      <w:bookmarkEnd w:id="96"/>
    </w:p>
    <w:p w14:paraId="47127E00" w14:textId="77777777" w:rsidR="005E7185" w:rsidRDefault="002C1A3B" w:rsidP="002C1A3B">
      <w:r w:rsidRPr="002C1A3B">
        <w:t xml:space="preserve">There are no other measures (whether available to FSANZ or not) that would be more </w:t>
      </w:r>
    </w:p>
    <w:p w14:paraId="0D9EE5A3" w14:textId="2B788DDC" w:rsidR="002C1A3B" w:rsidRPr="002C1A3B" w:rsidRDefault="002C1A3B" w:rsidP="002C1A3B">
      <w:pPr>
        <w:rPr>
          <w:color w:val="FF0000"/>
        </w:rPr>
      </w:pPr>
      <w:r w:rsidRPr="002C1A3B">
        <w:t>cost-effective than a food regulatory measure develop</w:t>
      </w:r>
      <w:r w:rsidR="001042CF">
        <w:t>ed or varied as a result of the Application.</w:t>
      </w:r>
    </w:p>
    <w:p w14:paraId="23DC46C1" w14:textId="0FA63377" w:rsidR="002C1A3B" w:rsidRPr="002C1A3B" w:rsidRDefault="00ED257F" w:rsidP="002719A8">
      <w:pPr>
        <w:pStyle w:val="Heading3"/>
      </w:pPr>
      <w:bookmarkStart w:id="97" w:name="_Toc447109129"/>
      <w:r>
        <w:t>5</w:t>
      </w:r>
      <w:r w:rsidR="002C1A3B" w:rsidRPr="002C1A3B">
        <w:t>.1.3</w:t>
      </w:r>
      <w:r w:rsidR="002C1A3B" w:rsidRPr="002C1A3B">
        <w:tab/>
        <w:t>Any relevant New Zealand standards</w:t>
      </w:r>
      <w:bookmarkEnd w:id="97"/>
    </w:p>
    <w:p w14:paraId="62137AE2" w14:textId="77777777" w:rsidR="001042CF" w:rsidRDefault="001042CF" w:rsidP="001042CF">
      <w:pPr>
        <w:rPr>
          <w:lang w:bidi="ar-SA"/>
        </w:rPr>
      </w:pPr>
      <w:r>
        <w:rPr>
          <w:lang w:bidi="ar-SA"/>
        </w:rPr>
        <w:t>Schedule 18 applies to New Zealand and there are no relevant New Zealand only Standards.</w:t>
      </w:r>
    </w:p>
    <w:p w14:paraId="2A06F9D0" w14:textId="2395059A" w:rsidR="002C1A3B" w:rsidRDefault="00ED257F" w:rsidP="002719A8">
      <w:pPr>
        <w:pStyle w:val="Heading3"/>
      </w:pPr>
      <w:bookmarkStart w:id="98" w:name="_Toc447109130"/>
      <w:r>
        <w:t>5</w:t>
      </w:r>
      <w:r w:rsidR="00F6142A">
        <w:t>.</w:t>
      </w:r>
      <w:r w:rsidR="002C1A3B" w:rsidRPr="002C1A3B">
        <w:t>1.4</w:t>
      </w:r>
      <w:r w:rsidR="002C1A3B" w:rsidRPr="002C1A3B">
        <w:tab/>
        <w:t>Any other relevant matters</w:t>
      </w:r>
      <w:bookmarkEnd w:id="98"/>
    </w:p>
    <w:p w14:paraId="6B8B38B0" w14:textId="77777777" w:rsidR="001042CF" w:rsidRPr="002C1A3B" w:rsidRDefault="001042CF" w:rsidP="001042CF">
      <w:pPr>
        <w:rPr>
          <w:lang w:bidi="ar-SA"/>
        </w:rPr>
      </w:pPr>
      <w:r>
        <w:rPr>
          <w:lang w:bidi="ar-SA"/>
        </w:rPr>
        <w:t>Other relevant matters are considered below</w:t>
      </w:r>
      <w:r w:rsidRPr="002C1A3B">
        <w:rPr>
          <w:lang w:bidi="ar-SA"/>
        </w:rPr>
        <w:t>.</w:t>
      </w:r>
    </w:p>
    <w:p w14:paraId="6AF66353" w14:textId="1D144C7C" w:rsidR="002C1A3B" w:rsidRPr="002C1A3B" w:rsidRDefault="00ED257F" w:rsidP="002719A8">
      <w:pPr>
        <w:pStyle w:val="Heading2"/>
      </w:pPr>
      <w:bookmarkStart w:id="99" w:name="_Toc370223479"/>
      <w:bookmarkStart w:id="100" w:name="_Toc370225394"/>
      <w:bookmarkStart w:id="101" w:name="_Toc447109131"/>
      <w:bookmarkStart w:id="102" w:name="_Toc300761897"/>
      <w:bookmarkStart w:id="103" w:name="_Toc300933440"/>
      <w:r>
        <w:t>5</w:t>
      </w:r>
      <w:r w:rsidR="003A7F73">
        <w:t>.</w:t>
      </w:r>
      <w:r>
        <w:t>2</w:t>
      </w:r>
      <w:r w:rsidR="003A7F73">
        <w:tab/>
      </w:r>
      <w:r w:rsidR="002C1A3B" w:rsidRPr="002C1A3B">
        <w:t>Subsection 18(1)</w:t>
      </w:r>
      <w:bookmarkEnd w:id="99"/>
      <w:bookmarkEnd w:id="100"/>
      <w:bookmarkEnd w:id="101"/>
      <w:r w:rsidR="002C1A3B" w:rsidRPr="002C1A3B">
        <w:t xml:space="preserve"> </w:t>
      </w:r>
      <w:bookmarkEnd w:id="102"/>
      <w:bookmarkEnd w:id="103"/>
    </w:p>
    <w:p w14:paraId="094D6988" w14:textId="718B660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9D63BFA" w14:textId="4B02CAB7" w:rsidR="002C1A3B" w:rsidRDefault="00ED257F" w:rsidP="002719A8">
      <w:pPr>
        <w:pStyle w:val="Heading3"/>
      </w:pPr>
      <w:bookmarkStart w:id="104" w:name="_Toc297029117"/>
      <w:bookmarkStart w:id="105" w:name="_Toc300761898"/>
      <w:bookmarkStart w:id="106" w:name="_Toc300933441"/>
      <w:bookmarkStart w:id="107" w:name="_Toc447109132"/>
      <w:r>
        <w:t>5</w:t>
      </w:r>
      <w:r w:rsidR="002C1A3B" w:rsidRPr="002C1A3B">
        <w:t>.</w:t>
      </w:r>
      <w:r>
        <w:t>2.1</w:t>
      </w:r>
      <w:r w:rsidR="002C1A3B" w:rsidRPr="002C1A3B">
        <w:tab/>
        <w:t>Protection of public health and safety</w:t>
      </w:r>
      <w:bookmarkEnd w:id="104"/>
      <w:bookmarkEnd w:id="105"/>
      <w:bookmarkEnd w:id="106"/>
      <w:bookmarkEnd w:id="107"/>
    </w:p>
    <w:p w14:paraId="030AA683" w14:textId="77777777" w:rsidR="001042CF" w:rsidRPr="00154A4B" w:rsidRDefault="001042CF" w:rsidP="001042CF">
      <w:r>
        <w:t xml:space="preserve">FSANZ undertook a safety assessment (SD1) and concluded there were no public health and safety concerns relating to permitting the enzyme glutaminase sourced from </w:t>
      </w:r>
      <w:r>
        <w:rPr>
          <w:i/>
        </w:rPr>
        <w:t xml:space="preserve">B. amyloliquefaciens </w:t>
      </w:r>
      <w:r>
        <w:t xml:space="preserve">as a processing aid.  </w:t>
      </w:r>
    </w:p>
    <w:p w14:paraId="51156E42" w14:textId="511A562D" w:rsidR="002C1A3B" w:rsidRPr="002C1A3B" w:rsidRDefault="00ED257F" w:rsidP="002719A8">
      <w:pPr>
        <w:pStyle w:val="Heading3"/>
      </w:pPr>
      <w:bookmarkStart w:id="108" w:name="_Toc300761899"/>
      <w:bookmarkStart w:id="109" w:name="_Toc300933442"/>
      <w:bookmarkStart w:id="110" w:name="_Toc447109133"/>
      <w:r>
        <w:t>5</w:t>
      </w:r>
      <w:r w:rsidR="002C1A3B" w:rsidRPr="002C1A3B">
        <w:t>.</w:t>
      </w:r>
      <w:r>
        <w:t>2.2</w:t>
      </w:r>
      <w:r w:rsidR="002C1A3B" w:rsidRPr="002C1A3B">
        <w:tab/>
        <w:t>The provision of adequate information relating to food to enable consumers to make informed choices</w:t>
      </w:r>
      <w:bookmarkEnd w:id="108"/>
      <w:bookmarkEnd w:id="109"/>
      <w:bookmarkEnd w:id="110"/>
    </w:p>
    <w:p w14:paraId="440AAADB" w14:textId="18BF0F18" w:rsidR="008F0F06" w:rsidRDefault="001042CF" w:rsidP="001042CF">
      <w:pPr>
        <w:rPr>
          <w:color w:val="00B050"/>
        </w:rPr>
      </w:pPr>
      <w:bookmarkStart w:id="111" w:name="_Toc300761900"/>
      <w:bookmarkStart w:id="112" w:name="_Toc300933443"/>
      <w:r w:rsidRPr="00DF3D74">
        <w:t xml:space="preserve">The labelling </w:t>
      </w:r>
      <w:r w:rsidR="00400C6F">
        <w:t>approach for</w:t>
      </w:r>
      <w:r w:rsidRPr="00DF3D74">
        <w:t xml:space="preserve"> </w:t>
      </w:r>
      <w:r>
        <w:t xml:space="preserve">the enzyme </w:t>
      </w:r>
      <w:r w:rsidRPr="00DF3D74">
        <w:t xml:space="preserve">processing aid </w:t>
      </w:r>
      <w:r w:rsidR="00A51B1E">
        <w:t xml:space="preserve">is </w:t>
      </w:r>
      <w:r w:rsidRPr="00DF3D74">
        <w:t>discussed in Section 2.</w:t>
      </w:r>
      <w:r>
        <w:t>3</w:t>
      </w:r>
      <w:r w:rsidR="00476AC4">
        <w:t>.3</w:t>
      </w:r>
      <w:r w:rsidR="0050737A">
        <w:t xml:space="preserve"> above</w:t>
      </w:r>
      <w:r w:rsidRPr="00DF3D74">
        <w:t>.</w:t>
      </w:r>
      <w:r>
        <w:t xml:space="preserve"> The</w:t>
      </w:r>
      <w:r w:rsidR="008F0F06">
        <w:t xml:space="preserve"> existing </w:t>
      </w:r>
      <w:r w:rsidR="003067BD">
        <w:t xml:space="preserve">provisions </w:t>
      </w:r>
      <w:r w:rsidR="008F0F06">
        <w:t xml:space="preserve">in the Code </w:t>
      </w:r>
      <w:r w:rsidR="00BE78F5">
        <w:t xml:space="preserve">are </w:t>
      </w:r>
      <w:r>
        <w:t>considered to be appropriate for the permitted use of the enzyme in foods.</w:t>
      </w:r>
    </w:p>
    <w:p w14:paraId="605B0C89" w14:textId="41F446F6" w:rsidR="002C1A3B" w:rsidRPr="002C1A3B" w:rsidRDefault="00ED257F" w:rsidP="002719A8">
      <w:pPr>
        <w:pStyle w:val="Heading3"/>
      </w:pPr>
      <w:bookmarkStart w:id="113" w:name="_Toc447109134"/>
      <w:r>
        <w:t>5</w:t>
      </w:r>
      <w:r w:rsidR="00F6142A">
        <w:t>.</w:t>
      </w:r>
      <w:r>
        <w:t>2.3</w:t>
      </w:r>
      <w:r w:rsidR="002C1A3B" w:rsidRPr="002C1A3B">
        <w:tab/>
        <w:t>The prevention of misleading or deceptive conduct</w:t>
      </w:r>
      <w:bookmarkEnd w:id="111"/>
      <w:bookmarkEnd w:id="112"/>
      <w:bookmarkEnd w:id="113"/>
    </w:p>
    <w:p w14:paraId="3FCED036" w14:textId="77777777" w:rsidR="001042CF" w:rsidRDefault="001042CF" w:rsidP="001042CF">
      <w:bookmarkStart w:id="114" w:name="_Toc300761901"/>
      <w:bookmarkStart w:id="115" w:name="_Toc300933444"/>
      <w:bookmarkStart w:id="116" w:name="_Toc370223480"/>
      <w:bookmarkStart w:id="117" w:name="_Toc370225395"/>
      <w:r w:rsidRPr="00DF3D74">
        <w:t xml:space="preserve">There </w:t>
      </w:r>
      <w:r>
        <w:t>were</w:t>
      </w:r>
      <w:r w:rsidRPr="00DF3D74">
        <w:t xml:space="preserve"> no issues identified with this Application relevant to this objective.</w:t>
      </w:r>
    </w:p>
    <w:p w14:paraId="417553A4" w14:textId="0185785E" w:rsidR="002C1A3B" w:rsidRPr="002C1A3B" w:rsidRDefault="00ED257F" w:rsidP="002719A8">
      <w:pPr>
        <w:pStyle w:val="Heading2"/>
        <w:rPr>
          <w:lang w:eastAsia="en-AU"/>
        </w:rPr>
      </w:pPr>
      <w:bookmarkStart w:id="118" w:name="_Toc447109135"/>
      <w:r>
        <w:rPr>
          <w:lang w:eastAsia="en-AU"/>
        </w:rPr>
        <w:t>5</w:t>
      </w:r>
      <w:r w:rsidR="002C1A3B" w:rsidRPr="002C1A3B">
        <w:rPr>
          <w:lang w:eastAsia="en-AU"/>
        </w:rPr>
        <w:t>.3</w:t>
      </w:r>
      <w:r w:rsidR="002C1A3B" w:rsidRPr="002C1A3B">
        <w:rPr>
          <w:lang w:eastAsia="en-AU"/>
        </w:rPr>
        <w:tab/>
        <w:t xml:space="preserve">Subsection 18(2) </w:t>
      </w:r>
      <w:bookmarkEnd w:id="114"/>
      <w:bookmarkEnd w:id="115"/>
      <w:r w:rsidR="002C1A3B" w:rsidRPr="002C1A3B">
        <w:rPr>
          <w:lang w:eastAsia="en-AU"/>
        </w:rPr>
        <w:t>considerations</w:t>
      </w:r>
      <w:bookmarkEnd w:id="116"/>
      <w:bookmarkEnd w:id="117"/>
      <w:bookmarkEnd w:id="118"/>
    </w:p>
    <w:p w14:paraId="4D1694CB" w14:textId="0BAE44EA" w:rsidR="002C1A3B" w:rsidRPr="002C1A3B" w:rsidRDefault="002C1A3B" w:rsidP="002C1A3B">
      <w:pPr>
        <w:rPr>
          <w:rFonts w:cs="Arial"/>
        </w:rPr>
      </w:pPr>
      <w:r w:rsidRPr="002C1A3B">
        <w:rPr>
          <w:rFonts w:cs="Arial"/>
        </w:rPr>
        <w:t>FSANZ also had regard to:</w:t>
      </w:r>
    </w:p>
    <w:p w14:paraId="7656FDE5" w14:textId="77777777" w:rsidR="002C1A3B" w:rsidRPr="002C1A3B" w:rsidRDefault="002C1A3B" w:rsidP="002C1A3B">
      <w:pPr>
        <w:rPr>
          <w:rFonts w:cs="Arial"/>
        </w:rPr>
      </w:pPr>
    </w:p>
    <w:p w14:paraId="053D2CD9" w14:textId="77777777" w:rsidR="00023970" w:rsidRDefault="00023970" w:rsidP="002C1A3B">
      <w:pPr>
        <w:pStyle w:val="FSBullet1"/>
        <w:rPr>
          <w:b/>
        </w:rPr>
      </w:pPr>
      <w:r>
        <w:rPr>
          <w:b/>
        </w:rPr>
        <w:br w:type="page"/>
      </w:r>
    </w:p>
    <w:p w14:paraId="02572558" w14:textId="09A11F5F" w:rsidR="002C1A3B" w:rsidRPr="002C1A3B" w:rsidRDefault="002C1A3B" w:rsidP="002C1A3B">
      <w:pPr>
        <w:pStyle w:val="FSBullet1"/>
        <w:rPr>
          <w:b/>
        </w:rPr>
      </w:pPr>
      <w:r w:rsidRPr="002C1A3B">
        <w:rPr>
          <w:b/>
        </w:rPr>
        <w:lastRenderedPageBreak/>
        <w:t>the need for standards to be based on risk analysis using the best available scientific evidence</w:t>
      </w:r>
    </w:p>
    <w:p w14:paraId="64404AB4" w14:textId="77777777" w:rsidR="002C1A3B" w:rsidRPr="002C1A3B" w:rsidRDefault="002C1A3B" w:rsidP="002C1A3B">
      <w:pPr>
        <w:rPr>
          <w:lang w:bidi="ar-SA"/>
        </w:rPr>
      </w:pPr>
    </w:p>
    <w:p w14:paraId="27EBF51F" w14:textId="77777777" w:rsidR="001042CF" w:rsidRPr="00871CF9" w:rsidRDefault="001042CF" w:rsidP="001042CF">
      <w:r w:rsidRPr="00871CF9">
        <w:t>FSANZ used the best available scientific evidence to conduct the risk analysis which is provided in SD1 – the Risk and Technical Assessment Report. The Applicant submitted a dossier of scientific studies as part of their Application. Other technical information including scientific literature was also used in assessing the Application.</w:t>
      </w:r>
    </w:p>
    <w:p w14:paraId="45FB5599" w14:textId="77777777" w:rsidR="002C1A3B" w:rsidRPr="002C1A3B" w:rsidRDefault="002C1A3B" w:rsidP="002C1A3B">
      <w:pPr>
        <w:rPr>
          <w:lang w:bidi="ar-SA"/>
        </w:rPr>
      </w:pPr>
    </w:p>
    <w:p w14:paraId="560FAFC3" w14:textId="77777777" w:rsidR="002C1A3B" w:rsidRPr="002C1A3B" w:rsidRDefault="002C1A3B" w:rsidP="002C1A3B">
      <w:pPr>
        <w:pStyle w:val="FSBullet1"/>
        <w:rPr>
          <w:b/>
        </w:rPr>
      </w:pPr>
      <w:r w:rsidRPr="002C1A3B">
        <w:rPr>
          <w:b/>
        </w:rPr>
        <w:t>the promotion of consistency between domestic and international food standards</w:t>
      </w:r>
    </w:p>
    <w:p w14:paraId="32D6BC3C" w14:textId="77777777" w:rsidR="002C1A3B" w:rsidRPr="002C1A3B" w:rsidRDefault="002C1A3B" w:rsidP="002C1A3B">
      <w:pPr>
        <w:rPr>
          <w:lang w:bidi="ar-SA"/>
        </w:rPr>
      </w:pPr>
    </w:p>
    <w:p w14:paraId="096FFA3D" w14:textId="1022E97D" w:rsidR="001042CF" w:rsidRDefault="001042CF" w:rsidP="001042CF">
      <w:r>
        <w:t xml:space="preserve">There are no </w:t>
      </w:r>
      <w:r w:rsidRPr="003246F7">
        <w:t xml:space="preserve">Codex Alimentarius Standards for processing aids or enzymes. </w:t>
      </w:r>
      <w:r>
        <w:t>However, the enzyme preparation Glutaminase SD-C100S has been permitted for use in food production in France and Japan.</w:t>
      </w:r>
    </w:p>
    <w:p w14:paraId="644A9994" w14:textId="77777777" w:rsidR="002C1A3B" w:rsidRPr="002C1A3B" w:rsidRDefault="002C1A3B" w:rsidP="002C1A3B">
      <w:pPr>
        <w:rPr>
          <w:lang w:bidi="ar-SA"/>
        </w:rPr>
      </w:pPr>
    </w:p>
    <w:p w14:paraId="1CF2B509" w14:textId="77777777" w:rsidR="002C1A3B" w:rsidRPr="002C1A3B" w:rsidRDefault="002C1A3B" w:rsidP="002C1A3B">
      <w:pPr>
        <w:pStyle w:val="FSBullet1"/>
        <w:rPr>
          <w:b/>
        </w:rPr>
      </w:pPr>
      <w:r w:rsidRPr="002C1A3B">
        <w:rPr>
          <w:b/>
        </w:rPr>
        <w:t>the desirability of an efficient and internationally competitive food industry</w:t>
      </w:r>
    </w:p>
    <w:p w14:paraId="2617CDD2" w14:textId="77777777" w:rsidR="002C1A3B" w:rsidRPr="002C1A3B" w:rsidRDefault="002C1A3B" w:rsidP="002C1A3B">
      <w:pPr>
        <w:rPr>
          <w:lang w:bidi="ar-SA"/>
        </w:rPr>
      </w:pPr>
    </w:p>
    <w:p w14:paraId="0C42B23A" w14:textId="22D69C85" w:rsidR="001042CF" w:rsidRPr="001F4FE4" w:rsidRDefault="001042CF" w:rsidP="001042CF">
      <w:r>
        <w:t>T</w:t>
      </w:r>
      <w:r w:rsidRPr="003840D6">
        <w:t xml:space="preserve">he use of glutaminase </w:t>
      </w:r>
      <w:r>
        <w:t>sourced</w:t>
      </w:r>
      <w:r w:rsidRPr="003840D6">
        <w:t xml:space="preserve"> from </w:t>
      </w:r>
      <w:r w:rsidRPr="003840D6">
        <w:rPr>
          <w:i/>
        </w:rPr>
        <w:t>B. amyloliquefaciens</w:t>
      </w:r>
      <w:r w:rsidRPr="003840D6">
        <w:t xml:space="preserve"> has a history of use in Europe and Japan. </w:t>
      </w:r>
      <w:r>
        <w:t xml:space="preserve">The Applicant expects </w:t>
      </w:r>
      <w:r w:rsidRPr="003840D6">
        <w:t xml:space="preserve">that the introduction of glutaminase </w:t>
      </w:r>
      <w:r>
        <w:t>sourced</w:t>
      </w:r>
      <w:r w:rsidRPr="003840D6">
        <w:t xml:space="preserve"> from </w:t>
      </w:r>
      <w:r w:rsidRPr="003840D6">
        <w:rPr>
          <w:i/>
        </w:rPr>
        <w:t>B. amyloliquefaciens</w:t>
      </w:r>
      <w:r w:rsidRPr="003840D6">
        <w:t xml:space="preserve"> to the Australia/New Zealand market </w:t>
      </w:r>
      <w:r>
        <w:t xml:space="preserve">will </w:t>
      </w:r>
      <w:r w:rsidRPr="003840D6">
        <w:t>be well received.</w:t>
      </w:r>
      <w:r>
        <w:t xml:space="preserve"> However, t</w:t>
      </w:r>
      <w:r w:rsidRPr="001F4FE4">
        <w:t xml:space="preserve">he food industry will make their own economic decisions, taking account of costs and benefits of </w:t>
      </w:r>
      <w:r>
        <w:t>using a new enzyme preparation</w:t>
      </w:r>
      <w:r w:rsidRPr="001F4FE4">
        <w:t xml:space="preserve"> to determine if it is of benefit to their business. </w:t>
      </w:r>
    </w:p>
    <w:p w14:paraId="7C3284BA" w14:textId="77777777" w:rsidR="002C1A3B" w:rsidRPr="002C1A3B" w:rsidRDefault="002C1A3B" w:rsidP="002C1A3B">
      <w:pPr>
        <w:rPr>
          <w:lang w:bidi="ar-SA"/>
        </w:rPr>
      </w:pPr>
    </w:p>
    <w:p w14:paraId="391AC889" w14:textId="77777777" w:rsidR="002C1A3B" w:rsidRPr="002C1A3B" w:rsidRDefault="002C1A3B" w:rsidP="002C1A3B">
      <w:pPr>
        <w:pStyle w:val="FSBullet1"/>
        <w:rPr>
          <w:b/>
        </w:rPr>
      </w:pPr>
      <w:r w:rsidRPr="002C1A3B">
        <w:rPr>
          <w:b/>
        </w:rPr>
        <w:t>the promotion of fair trading in food</w:t>
      </w:r>
    </w:p>
    <w:p w14:paraId="538BF813" w14:textId="77777777" w:rsidR="002C1A3B" w:rsidRPr="002C1A3B" w:rsidRDefault="002C1A3B" w:rsidP="002C1A3B">
      <w:pPr>
        <w:rPr>
          <w:lang w:bidi="ar-SA"/>
        </w:rPr>
      </w:pPr>
    </w:p>
    <w:p w14:paraId="5DD2C1C5" w14:textId="13376F44" w:rsidR="002E36B8" w:rsidRPr="008828D9" w:rsidRDefault="002E36B8" w:rsidP="002E36B8">
      <w:pPr>
        <w:rPr>
          <w:lang w:bidi="ar-SA"/>
        </w:rPr>
      </w:pPr>
      <w:r w:rsidRPr="00D511BA">
        <w:t xml:space="preserve">The enzyme preparation </w:t>
      </w:r>
      <w:r>
        <w:t>was</w:t>
      </w:r>
      <w:r w:rsidRPr="00D511BA">
        <w:t xml:space="preserve"> assessed as safe </w:t>
      </w:r>
      <w:r>
        <w:t xml:space="preserve">and permitted for use </w:t>
      </w:r>
      <w:r w:rsidRPr="00D511BA">
        <w:t xml:space="preserve">in other countries. It is therefore appropriate that the local Australian and New Zealand food industries </w:t>
      </w:r>
      <w:r>
        <w:t>also benefit by gaining permission to use this same enzyme preparation.</w:t>
      </w:r>
    </w:p>
    <w:p w14:paraId="3CE779F2" w14:textId="77777777" w:rsidR="002C1A3B" w:rsidRPr="002C1A3B" w:rsidRDefault="002C1A3B" w:rsidP="002C1A3B">
      <w:pPr>
        <w:rPr>
          <w:lang w:bidi="ar-SA"/>
        </w:rPr>
      </w:pPr>
    </w:p>
    <w:p w14:paraId="173DFC34"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0010EB6" w14:textId="77777777" w:rsidR="002C1A3B" w:rsidRPr="002C1A3B" w:rsidRDefault="002C1A3B" w:rsidP="002C1A3B">
      <w:pPr>
        <w:rPr>
          <w:lang w:bidi="ar-SA"/>
        </w:rPr>
      </w:pPr>
    </w:p>
    <w:p w14:paraId="7E122EB4" w14:textId="77777777" w:rsidR="002E36B8" w:rsidRPr="00871CF9" w:rsidRDefault="002E36B8" w:rsidP="002E36B8">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4"/>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A96B464" w14:textId="77777777" w:rsidR="002E36B8" w:rsidRPr="00871CF9" w:rsidRDefault="002E36B8" w:rsidP="002E36B8"/>
    <w:p w14:paraId="229323B1" w14:textId="77777777" w:rsidR="002E36B8" w:rsidRPr="00871CF9" w:rsidRDefault="002E36B8" w:rsidP="002E36B8">
      <w:pPr>
        <w:pStyle w:val="FSBullet1"/>
        <w:numPr>
          <w:ilvl w:val="0"/>
          <w:numId w:val="48"/>
        </w:numPr>
        <w:ind w:left="567" w:hanging="567"/>
      </w:pPr>
      <w:r w:rsidRPr="00871CF9">
        <w:t>the purpose for adding the substance can be articulated clearly by the manufacturer as achieving a solely technological function (i.e. the ‘stated purpose’)</w:t>
      </w:r>
    </w:p>
    <w:p w14:paraId="01CCFC18" w14:textId="77777777" w:rsidR="002E36B8" w:rsidRPr="00871CF9" w:rsidRDefault="002E36B8" w:rsidP="002E36B8">
      <w:pPr>
        <w:pStyle w:val="FSBullet1"/>
        <w:numPr>
          <w:ilvl w:val="0"/>
          <w:numId w:val="48"/>
        </w:numPr>
        <w:ind w:left="567" w:hanging="567"/>
      </w:pPr>
      <w:r w:rsidRPr="00871CF9">
        <w:t>the addition of the substance to food is safe for human consumption</w:t>
      </w:r>
    </w:p>
    <w:p w14:paraId="2FEFE070" w14:textId="77777777" w:rsidR="002E36B8" w:rsidRPr="00871CF9" w:rsidRDefault="002E36B8" w:rsidP="002E36B8">
      <w:pPr>
        <w:pStyle w:val="FSBullet1"/>
        <w:numPr>
          <w:ilvl w:val="0"/>
          <w:numId w:val="48"/>
        </w:numPr>
        <w:ind w:left="567" w:hanging="567"/>
      </w:pPr>
      <w:r w:rsidRPr="00871CF9">
        <w:t>the amounts added are consistent with achieving the technological function</w:t>
      </w:r>
    </w:p>
    <w:p w14:paraId="2081F99D" w14:textId="77777777" w:rsidR="002E36B8" w:rsidRPr="00871CF9" w:rsidRDefault="002E36B8" w:rsidP="002E36B8">
      <w:pPr>
        <w:pStyle w:val="FSBullet1"/>
        <w:numPr>
          <w:ilvl w:val="0"/>
          <w:numId w:val="48"/>
        </w:numPr>
        <w:ind w:left="567" w:hanging="567"/>
      </w:pPr>
      <w:r w:rsidRPr="00871CF9">
        <w:t>the substance is added in a quantity and a form which is consistent with delivering the stated purpose</w:t>
      </w:r>
    </w:p>
    <w:p w14:paraId="3551CD1C" w14:textId="77777777" w:rsidR="002E36B8" w:rsidRPr="008200A6" w:rsidRDefault="002E36B8" w:rsidP="002E36B8">
      <w:pPr>
        <w:pStyle w:val="FSBullet1"/>
        <w:numPr>
          <w:ilvl w:val="0"/>
          <w:numId w:val="48"/>
        </w:numPr>
        <w:ind w:left="567" w:hanging="567"/>
      </w:pPr>
      <w:r w:rsidRPr="008200A6">
        <w:t>no nutrition, health or related claims are to be made in regard to the substance.</w:t>
      </w:r>
    </w:p>
    <w:p w14:paraId="1E36732E" w14:textId="77777777" w:rsidR="002E36B8" w:rsidRPr="008200A6" w:rsidRDefault="002E36B8" w:rsidP="002E36B8"/>
    <w:p w14:paraId="29ED748B" w14:textId="37912BBA" w:rsidR="002E36B8" w:rsidRPr="00871CF9" w:rsidRDefault="002E36B8" w:rsidP="002E36B8">
      <w:r w:rsidRPr="0006373D">
        <w:t xml:space="preserve">FSANZ determined that permitting the use of the enzyme </w:t>
      </w:r>
      <w:r>
        <w:t>glutaminase</w:t>
      </w:r>
      <w:r w:rsidRPr="0006373D">
        <w:rPr>
          <w:szCs w:val="22"/>
        </w:rPr>
        <w:t xml:space="preserve"> </w:t>
      </w:r>
      <w:r>
        <w:rPr>
          <w:szCs w:val="22"/>
        </w:rPr>
        <w:t>sourced from</w:t>
      </w:r>
      <w:r>
        <w:t xml:space="preserve"> </w:t>
      </w:r>
      <w:r>
        <w:rPr>
          <w:i/>
        </w:rPr>
        <w:t xml:space="preserve">B. amyloliquefaciens </w:t>
      </w:r>
      <w:r>
        <w:t>as a processing aid wa</w:t>
      </w:r>
      <w:r w:rsidRPr="0006373D">
        <w:t>s consistent with the specific order policy principles for ‘Technological Function’.</w:t>
      </w:r>
    </w:p>
    <w:p w14:paraId="78132E70" w14:textId="77777777" w:rsidR="00605EF0" w:rsidRDefault="00605EF0" w:rsidP="001122EC">
      <w:pPr>
        <w:pStyle w:val="Heading1"/>
      </w:pPr>
      <w:bookmarkStart w:id="119" w:name="_Toc447109136"/>
      <w:bookmarkStart w:id="120" w:name="_Toc11735643"/>
      <w:bookmarkStart w:id="121" w:name="_Toc29883130"/>
      <w:bookmarkStart w:id="122" w:name="_Toc41906817"/>
      <w:bookmarkStart w:id="123" w:name="_Toc41907564"/>
      <w:bookmarkStart w:id="124" w:name="_Toc43112360"/>
      <w:bookmarkEnd w:id="91"/>
      <w:r>
        <w:br w:type="page"/>
      </w:r>
    </w:p>
    <w:p w14:paraId="112BA9D2" w14:textId="3C3C804F" w:rsidR="001122EC" w:rsidRPr="00AF4E60" w:rsidRDefault="002C1A3B" w:rsidP="001122EC">
      <w:pPr>
        <w:pStyle w:val="Heading1"/>
      </w:pPr>
      <w:r w:rsidRPr="00AF4E60">
        <w:lastRenderedPageBreak/>
        <w:t>6</w:t>
      </w:r>
      <w:r w:rsidR="001122EC" w:rsidRPr="00AF4E60">
        <w:tab/>
        <w:t>R</w:t>
      </w:r>
      <w:r w:rsidR="000B427A" w:rsidRPr="00AF4E60">
        <w:t>eferences</w:t>
      </w:r>
      <w:bookmarkEnd w:id="119"/>
    </w:p>
    <w:p w14:paraId="76C172BF" w14:textId="77777777" w:rsidR="00AF4E60" w:rsidRPr="004C05A7" w:rsidRDefault="00AF4E60" w:rsidP="00AF4E60">
      <w:pPr>
        <w:rPr>
          <w:i/>
          <w:iCs/>
          <w:sz w:val="20"/>
          <w:szCs w:val="20"/>
        </w:rPr>
      </w:pPr>
      <w:r w:rsidRPr="004C05A7">
        <w:rPr>
          <w:sz w:val="20"/>
          <w:szCs w:val="20"/>
        </w:rPr>
        <w:t xml:space="preserve">AFSSA (2009). </w:t>
      </w:r>
      <w:r w:rsidRPr="004C05A7">
        <w:rPr>
          <w:i/>
          <w:iCs/>
          <w:sz w:val="20"/>
          <w:szCs w:val="20"/>
        </w:rPr>
        <w:t>AVIS de l’Agence française de sécurité sanitaire des aliments relatif à une</w:t>
      </w:r>
    </w:p>
    <w:p w14:paraId="765C077D" w14:textId="77777777" w:rsidR="00AF4E60" w:rsidRPr="004C05A7" w:rsidRDefault="00AF4E60" w:rsidP="00AF4E60">
      <w:pPr>
        <w:rPr>
          <w:i/>
          <w:iCs/>
          <w:sz w:val="20"/>
          <w:szCs w:val="20"/>
        </w:rPr>
      </w:pPr>
      <w:r w:rsidRPr="004C05A7">
        <w:rPr>
          <w:i/>
          <w:iCs/>
          <w:sz w:val="20"/>
          <w:szCs w:val="20"/>
        </w:rPr>
        <w:t>demande d'autorisation d'emploi sous deux formulations d'une glutaminase produite</w:t>
      </w:r>
    </w:p>
    <w:p w14:paraId="43983B39" w14:textId="77777777" w:rsidR="00AF4E60" w:rsidRPr="004C05A7" w:rsidRDefault="00AF4E60" w:rsidP="00AF4E60">
      <w:pPr>
        <w:rPr>
          <w:i/>
          <w:iCs/>
          <w:sz w:val="20"/>
          <w:szCs w:val="20"/>
        </w:rPr>
      </w:pPr>
      <w:r w:rsidRPr="004C05A7">
        <w:rPr>
          <w:i/>
          <w:iCs/>
          <w:sz w:val="20"/>
          <w:szCs w:val="20"/>
        </w:rPr>
        <w:t>par une souche de Bacillus amyloliquefaciens non modifiée génétiquement pour la</w:t>
      </w:r>
    </w:p>
    <w:p w14:paraId="4224DA71" w14:textId="77777777" w:rsidR="00AF4E60" w:rsidRPr="004C05A7" w:rsidRDefault="00AF4E60" w:rsidP="00AF4E60">
      <w:pPr>
        <w:rPr>
          <w:sz w:val="20"/>
          <w:szCs w:val="20"/>
        </w:rPr>
      </w:pPr>
      <w:r w:rsidRPr="004C05A7">
        <w:rPr>
          <w:i/>
          <w:iCs/>
          <w:sz w:val="20"/>
          <w:szCs w:val="20"/>
        </w:rPr>
        <w:t>production d'hydrolysats de proteins et d'extraits de levures</w:t>
      </w:r>
      <w:r w:rsidRPr="004C05A7">
        <w:rPr>
          <w:sz w:val="20"/>
          <w:szCs w:val="20"/>
        </w:rPr>
        <w:t>. (AFSSA – Saisine n°</w:t>
      </w:r>
    </w:p>
    <w:p w14:paraId="1ADCE7A3" w14:textId="77777777" w:rsidR="00AF4E60" w:rsidRPr="004C05A7" w:rsidRDefault="00AF4E60" w:rsidP="00AF4E60">
      <w:pPr>
        <w:rPr>
          <w:sz w:val="20"/>
          <w:szCs w:val="20"/>
        </w:rPr>
      </w:pPr>
      <w:r w:rsidRPr="004C05A7">
        <w:rPr>
          <w:sz w:val="20"/>
          <w:szCs w:val="20"/>
        </w:rPr>
        <w:t>2009-SA-0089 / Saisine liée n° 2007-SA-0330, July 16, 2009). Maisons-Alfort,</w:t>
      </w:r>
    </w:p>
    <w:p w14:paraId="27AF0FBD" w14:textId="77777777" w:rsidR="00AF4E60" w:rsidRPr="004C05A7" w:rsidRDefault="00AF4E60" w:rsidP="00AF4E60">
      <w:pPr>
        <w:rPr>
          <w:sz w:val="20"/>
          <w:szCs w:val="20"/>
        </w:rPr>
      </w:pPr>
      <w:r w:rsidRPr="004C05A7">
        <w:rPr>
          <w:sz w:val="20"/>
          <w:szCs w:val="20"/>
        </w:rPr>
        <w:t>France: Agence Française de Sécurité Sanitaire des Aliments (AFSSA). Available at:</w:t>
      </w:r>
    </w:p>
    <w:p w14:paraId="01FB8FFE" w14:textId="77777777" w:rsidR="00AF4E60" w:rsidRPr="004C05A7" w:rsidRDefault="003F3256" w:rsidP="00AF4E60">
      <w:pPr>
        <w:rPr>
          <w:sz w:val="20"/>
          <w:szCs w:val="20"/>
        </w:rPr>
      </w:pPr>
      <w:hyperlink r:id="rId20" w:history="1">
        <w:r w:rsidR="00AF4E60" w:rsidRPr="004C05A7">
          <w:rPr>
            <w:rStyle w:val="Hyperlink"/>
            <w:color w:val="auto"/>
            <w:sz w:val="20"/>
            <w:szCs w:val="20"/>
          </w:rPr>
          <w:t>http://www.anses.fr/sites/default/files/documents/BIOT2009sa0089.pdf</w:t>
        </w:r>
      </w:hyperlink>
      <w:r w:rsidR="00AF4E60" w:rsidRPr="004C05A7">
        <w:rPr>
          <w:sz w:val="20"/>
          <w:szCs w:val="20"/>
        </w:rPr>
        <w:t>.</w:t>
      </w:r>
    </w:p>
    <w:p w14:paraId="1931814F" w14:textId="77777777" w:rsidR="00AF4E60" w:rsidRDefault="00AF4E60" w:rsidP="00AF4E60">
      <w:pPr>
        <w:tabs>
          <w:tab w:val="left" w:pos="0"/>
        </w:tabs>
        <w:rPr>
          <w:rFonts w:cs="Arial"/>
          <w:noProof/>
          <w:sz w:val="20"/>
        </w:rPr>
      </w:pPr>
    </w:p>
    <w:p w14:paraId="1B3A6A06" w14:textId="77777777" w:rsidR="00AF4E60" w:rsidRPr="00C066A5" w:rsidRDefault="00AF4E60" w:rsidP="00AF4E60">
      <w:pPr>
        <w:tabs>
          <w:tab w:val="left" w:pos="0"/>
        </w:tabs>
        <w:rPr>
          <w:rFonts w:cs="Arial"/>
          <w:noProof/>
          <w:sz w:val="20"/>
        </w:rPr>
      </w:pPr>
      <w:r w:rsidRPr="00C066A5">
        <w:rPr>
          <w:rFonts w:cs="Arial"/>
          <w:noProof/>
          <w:sz w:val="20"/>
        </w:rPr>
        <w:t>Food Chemicals Codex 9</w:t>
      </w:r>
      <w:r w:rsidRPr="00C066A5">
        <w:rPr>
          <w:rFonts w:cs="Arial"/>
          <w:noProof/>
          <w:sz w:val="20"/>
          <w:vertAlign w:val="superscript"/>
        </w:rPr>
        <w:t>th</w:t>
      </w:r>
      <w:r w:rsidRPr="00C066A5">
        <w:rPr>
          <w:rFonts w:cs="Arial"/>
          <w:noProof/>
          <w:sz w:val="20"/>
        </w:rPr>
        <w:t xml:space="preserve"> Edition (</w:t>
      </w:r>
      <w:r w:rsidRPr="00D82F09">
        <w:rPr>
          <w:rFonts w:cs="Arial"/>
          <w:noProof/>
          <w:sz w:val="20"/>
        </w:rPr>
        <w:t>2015</w:t>
      </w:r>
      <w:r w:rsidRPr="00C066A5">
        <w:rPr>
          <w:rFonts w:cs="Arial"/>
          <w:noProof/>
          <w:sz w:val="20"/>
        </w:rPr>
        <w:t>), The United States Pharmacopeia, United States Pharmacopeial Convention, Rockville, MD.</w:t>
      </w:r>
    </w:p>
    <w:p w14:paraId="2B02361B" w14:textId="77777777" w:rsidR="00AF4E60" w:rsidRDefault="003F3256" w:rsidP="00AF4E60">
      <w:pPr>
        <w:tabs>
          <w:tab w:val="left" w:pos="0"/>
        </w:tabs>
        <w:rPr>
          <w:rStyle w:val="Hyperlink"/>
          <w:rFonts w:cs="Arial"/>
          <w:noProof/>
          <w:sz w:val="20"/>
        </w:rPr>
      </w:pPr>
      <w:hyperlink r:id="rId21" w:history="1">
        <w:r w:rsidR="00AF4E60" w:rsidRPr="00C066A5">
          <w:rPr>
            <w:rStyle w:val="Hyperlink"/>
            <w:rFonts w:cs="Arial"/>
            <w:noProof/>
            <w:sz w:val="20"/>
          </w:rPr>
          <w:t>http://www.usp.org/food-ingredients/food-chemicals-codex</w:t>
        </w:r>
      </w:hyperlink>
    </w:p>
    <w:p w14:paraId="0EE2800E" w14:textId="77777777" w:rsidR="00AF4E60" w:rsidRDefault="00AF4E60" w:rsidP="00AF4E60">
      <w:pPr>
        <w:tabs>
          <w:tab w:val="left" w:pos="0"/>
        </w:tabs>
        <w:rPr>
          <w:rFonts w:cs="Arial"/>
          <w:noProof/>
          <w:sz w:val="20"/>
          <w:u w:val="single"/>
        </w:rPr>
      </w:pPr>
    </w:p>
    <w:p w14:paraId="22574F30" w14:textId="77777777" w:rsidR="00AF4E60" w:rsidRPr="00962475" w:rsidRDefault="00AF4E60" w:rsidP="00AF4E60">
      <w:pPr>
        <w:tabs>
          <w:tab w:val="left" w:pos="0"/>
        </w:tabs>
        <w:rPr>
          <w:sz w:val="20"/>
          <w:szCs w:val="20"/>
        </w:rPr>
      </w:pPr>
      <w:r w:rsidRPr="00962475">
        <w:rPr>
          <w:rFonts w:cs="Arial"/>
          <w:noProof/>
          <w:sz w:val="20"/>
          <w:szCs w:val="20"/>
        </w:rPr>
        <w:t xml:space="preserve">IUBMB (2015) EC 3.5.1.2. </w:t>
      </w:r>
      <w:hyperlink r:id="rId22" w:history="1">
        <w:r w:rsidRPr="00962475">
          <w:rPr>
            <w:rStyle w:val="Hyperlink"/>
            <w:sz w:val="20"/>
            <w:szCs w:val="20"/>
          </w:rPr>
          <w:t>http://www.enzyme-database.org/query.php?name=3.5.1.2&amp;search=search_all&amp;display=show_all&amp;order=ec_num&amp;nr=50</w:t>
        </w:r>
      </w:hyperlink>
    </w:p>
    <w:p w14:paraId="0A859D76" w14:textId="77777777" w:rsidR="00AF4E60" w:rsidRDefault="00AF4E60" w:rsidP="00AF4E60">
      <w:pPr>
        <w:tabs>
          <w:tab w:val="left" w:pos="0"/>
        </w:tabs>
      </w:pPr>
    </w:p>
    <w:p w14:paraId="42F6741C" w14:textId="77777777" w:rsidR="00AF4E60" w:rsidRPr="009500F5" w:rsidRDefault="00AF4E60" w:rsidP="00AF4E60">
      <w:pPr>
        <w:tabs>
          <w:tab w:val="left" w:pos="0"/>
        </w:tabs>
        <w:rPr>
          <w:rFonts w:cs="Arial"/>
          <w:noProof/>
          <w:sz w:val="20"/>
        </w:rPr>
      </w:pPr>
      <w:r w:rsidRPr="009500F5">
        <w:rPr>
          <w:rFonts w:cs="Arial"/>
          <w:noProof/>
          <w:sz w:val="20"/>
        </w:rPr>
        <w:t xml:space="preserve">JECFA (2006) General specifications and considerations for enzyme preparations used in food processing. </w:t>
      </w:r>
      <w:hyperlink r:id="rId23" w:history="1">
        <w:r w:rsidRPr="009500F5">
          <w:rPr>
            <w:rStyle w:val="Hyperlink"/>
            <w:rFonts w:cs="Arial"/>
            <w:noProof/>
            <w:sz w:val="20"/>
          </w:rPr>
          <w:t>http://www.fao.org/docrep/009/a0691e/A0691E03.htm</w:t>
        </w:r>
      </w:hyperlink>
    </w:p>
    <w:p w14:paraId="03D13183" w14:textId="77777777" w:rsidR="00AF4E60" w:rsidRDefault="00AF4E60" w:rsidP="00AF4E60">
      <w:pPr>
        <w:tabs>
          <w:tab w:val="left" w:pos="0"/>
        </w:tabs>
        <w:rPr>
          <w:rFonts w:cs="Arial"/>
          <w:noProof/>
          <w:sz w:val="20"/>
        </w:rPr>
      </w:pPr>
    </w:p>
    <w:p w14:paraId="0B65322E" w14:textId="77777777" w:rsidR="00AF4E60" w:rsidRPr="004C05A7" w:rsidRDefault="00AF4E60" w:rsidP="00AF4E60">
      <w:pPr>
        <w:rPr>
          <w:sz w:val="20"/>
          <w:szCs w:val="20"/>
        </w:rPr>
      </w:pPr>
      <w:r w:rsidRPr="004C05A7">
        <w:rPr>
          <w:sz w:val="20"/>
          <w:szCs w:val="20"/>
        </w:rPr>
        <w:t>MHLW (2014). List of existing food additives [complied and published by the Ministry of</w:t>
      </w:r>
    </w:p>
    <w:p w14:paraId="4442BC0B" w14:textId="77777777" w:rsidR="00AF4E60" w:rsidRPr="004C05A7" w:rsidRDefault="00AF4E60" w:rsidP="00AF4E60">
      <w:pPr>
        <w:rPr>
          <w:sz w:val="20"/>
          <w:szCs w:val="20"/>
        </w:rPr>
      </w:pPr>
      <w:r w:rsidRPr="004C05A7">
        <w:rPr>
          <w:sz w:val="20"/>
          <w:szCs w:val="20"/>
        </w:rPr>
        <w:t>Health and Welfare on April 16, 1996]. Japan Food Chemical Research Foundation</w:t>
      </w:r>
    </w:p>
    <w:p w14:paraId="4F34C7B7" w14:textId="77777777" w:rsidR="00AF4E60" w:rsidRPr="004C05A7" w:rsidRDefault="00AF4E60" w:rsidP="00AF4E60">
      <w:pPr>
        <w:rPr>
          <w:sz w:val="20"/>
          <w:szCs w:val="20"/>
        </w:rPr>
      </w:pPr>
      <w:r w:rsidRPr="004C05A7">
        <w:rPr>
          <w:sz w:val="20"/>
          <w:szCs w:val="20"/>
        </w:rPr>
        <w:t>(JFCRF), Tokyo, Japan. http://www.ffcr.or.jp/zaidan/FFCRHOME.nsf/pages/listexst.</w:t>
      </w:r>
    </w:p>
    <w:p w14:paraId="36DE8987" w14:textId="77777777" w:rsidR="00AF4E60" w:rsidRPr="009500F5" w:rsidRDefault="00AF4E60" w:rsidP="00AF4E60">
      <w:pPr>
        <w:tabs>
          <w:tab w:val="left" w:pos="0"/>
        </w:tabs>
        <w:rPr>
          <w:rFonts w:cs="Arial"/>
          <w:noProof/>
          <w:sz w:val="20"/>
        </w:rPr>
      </w:pPr>
      <w:r w:rsidRPr="004C05A7">
        <w:rPr>
          <w:sz w:val="20"/>
          <w:szCs w:val="20"/>
        </w:rPr>
        <w:t>add [Effective from January 30, 2014, Last update: 06/30/2014].</w:t>
      </w:r>
    </w:p>
    <w:p w14:paraId="5559EFBF" w14:textId="77777777" w:rsidR="0012388D" w:rsidRDefault="00D15A08" w:rsidP="006C22A7">
      <w:pPr>
        <w:spacing w:before="240"/>
        <w:rPr>
          <w:b/>
          <w:sz w:val="28"/>
          <w:szCs w:val="28"/>
        </w:rPr>
      </w:pPr>
      <w:r w:rsidRPr="006C22A7">
        <w:rPr>
          <w:b/>
          <w:sz w:val="28"/>
          <w:szCs w:val="28"/>
        </w:rPr>
        <w:t>A</w:t>
      </w:r>
      <w:bookmarkEnd w:id="120"/>
      <w:bookmarkEnd w:id="121"/>
      <w:bookmarkEnd w:id="122"/>
      <w:bookmarkEnd w:id="123"/>
      <w:bookmarkEnd w:id="124"/>
      <w:r w:rsidR="00B21055">
        <w:rPr>
          <w:b/>
          <w:sz w:val="28"/>
          <w:szCs w:val="28"/>
        </w:rPr>
        <w:t>ttachments</w:t>
      </w:r>
    </w:p>
    <w:p w14:paraId="764F5956" w14:textId="77777777" w:rsidR="006C22A7" w:rsidRDefault="006C22A7" w:rsidP="00755F02"/>
    <w:p w14:paraId="5D23281C" w14:textId="1BB192D5"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28C69B5B"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6642BC16" w14:textId="350CF0B2" w:rsidR="00AF4E60" w:rsidRDefault="00AF4E60" w:rsidP="00AF4E60">
      <w:pPr>
        <w:ind w:left="567" w:hanging="567"/>
        <w:rPr>
          <w:color w:val="FF0000"/>
        </w:rPr>
      </w:pPr>
      <w:bookmarkStart w:id="125" w:name="_Toc29883131"/>
      <w:bookmarkStart w:id="126" w:name="_Toc41906818"/>
      <w:bookmarkStart w:id="127" w:name="_Toc41907565"/>
      <w:bookmarkStart w:id="128" w:name="_Toc120358596"/>
      <w:bookmarkStart w:id="129" w:name="_Toc175381458"/>
      <w:bookmarkStart w:id="130" w:name="_Toc11735644"/>
    </w:p>
    <w:p w14:paraId="4C7ABB86" w14:textId="77777777" w:rsidR="00AF4E60" w:rsidRDefault="00AF4E60">
      <w:pPr>
        <w:widowControl/>
        <w:rPr>
          <w:color w:val="FF0000"/>
        </w:rPr>
      </w:pPr>
      <w:r>
        <w:rPr>
          <w:color w:val="FF0000"/>
        </w:rPr>
        <w:br w:type="page"/>
      </w:r>
    </w:p>
    <w:p w14:paraId="2B602B88" w14:textId="1709BF41" w:rsidR="00456BD5" w:rsidRPr="00456BD5" w:rsidRDefault="003C4969" w:rsidP="00456BD5">
      <w:pPr>
        <w:pStyle w:val="Heading2"/>
        <w:ind w:left="0" w:firstLine="0"/>
      </w:pPr>
      <w:bookmarkStart w:id="131" w:name="_Toc447109137"/>
      <w:r w:rsidRPr="00932F14">
        <w:lastRenderedPageBreak/>
        <w:t xml:space="preserve">Attachment </w:t>
      </w:r>
      <w:bookmarkEnd w:id="125"/>
      <w:bookmarkEnd w:id="126"/>
      <w:bookmarkEnd w:id="127"/>
      <w:bookmarkEnd w:id="128"/>
      <w:bookmarkEnd w:id="129"/>
      <w:r w:rsidR="00456B54">
        <w:t>A</w:t>
      </w:r>
      <w:bookmarkStart w:id="132" w:name="_Toc120358597"/>
      <w:bookmarkStart w:id="133" w:name="_Toc175381459"/>
      <w:bookmarkEnd w:id="130"/>
      <w:r w:rsidR="00755F02">
        <w:t xml:space="preserve"> –</w:t>
      </w:r>
      <w:bookmarkStart w:id="134" w:name="_Toc120358598"/>
      <w:bookmarkStart w:id="135" w:name="_Toc175381460"/>
      <w:bookmarkEnd w:id="132"/>
      <w:bookmarkEnd w:id="133"/>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31"/>
      <w:r w:rsidR="00456BD5">
        <w:rPr>
          <w:i/>
        </w:rPr>
        <w:t xml:space="preserve"> </w:t>
      </w:r>
    </w:p>
    <w:p w14:paraId="2C3AA202" w14:textId="77777777" w:rsidR="00F00C58" w:rsidRPr="00605EF0" w:rsidRDefault="00F00C58" w:rsidP="00F00C58">
      <w:pPr>
        <w:rPr>
          <w:noProof/>
          <w:sz w:val="20"/>
          <w:lang w:val="en-AU" w:eastAsia="en-AU"/>
        </w:rPr>
      </w:pPr>
      <w:bookmarkStart w:id="136" w:name="_Toc415572277"/>
      <w:bookmarkStart w:id="137" w:name="_Toc421012590"/>
      <w:bookmarkStart w:id="138" w:name="_Toc414880388"/>
      <w:bookmarkEnd w:id="136"/>
      <w:bookmarkEnd w:id="137"/>
      <w:bookmarkEnd w:id="138"/>
      <w:r w:rsidRPr="00972DE7">
        <w:rPr>
          <w:noProof/>
          <w:color w:val="00B0F0"/>
          <w:sz w:val="20"/>
          <w:lang w:eastAsia="en-GB" w:bidi="ar-SA"/>
        </w:rPr>
        <w:drawing>
          <wp:inline distT="0" distB="0" distL="0" distR="0" wp14:anchorId="12AA15C6" wp14:editId="2212071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065ED28" w14:textId="77777777" w:rsidR="00F00C58" w:rsidRPr="00605EF0" w:rsidRDefault="00F00C58" w:rsidP="00F00C58">
      <w:pPr>
        <w:rPr>
          <w:noProof/>
          <w:sz w:val="20"/>
          <w:lang w:val="en-AU" w:eastAsia="en-AU"/>
        </w:rPr>
      </w:pPr>
    </w:p>
    <w:p w14:paraId="41480DD8" w14:textId="77777777" w:rsidR="00F00C58" w:rsidRDefault="00F00C58" w:rsidP="00F00C58">
      <w:pPr>
        <w:pBdr>
          <w:bottom w:val="single" w:sz="4" w:space="1" w:color="auto"/>
        </w:pBdr>
        <w:rPr>
          <w:b/>
          <w:sz w:val="20"/>
        </w:rPr>
      </w:pPr>
      <w:r w:rsidRPr="006153A1">
        <w:rPr>
          <w:b/>
          <w:sz w:val="20"/>
        </w:rPr>
        <w:t>Food Standards (</w:t>
      </w:r>
      <w:r w:rsidRPr="00F618DF">
        <w:rPr>
          <w:b/>
          <w:sz w:val="20"/>
        </w:rPr>
        <w:t xml:space="preserve">Application </w:t>
      </w:r>
      <w:r>
        <w:rPr>
          <w:b/>
          <w:sz w:val="20"/>
        </w:rPr>
        <w:t>A1109</w:t>
      </w:r>
      <w:r w:rsidRPr="00F618DF">
        <w:rPr>
          <w:b/>
          <w:sz w:val="20"/>
        </w:rPr>
        <w:t xml:space="preserve"> </w:t>
      </w:r>
      <w:r w:rsidRPr="00A32232">
        <w:rPr>
          <w:b/>
          <w:sz w:val="20"/>
        </w:rPr>
        <w:t xml:space="preserve">– </w:t>
      </w:r>
      <w:r>
        <w:rPr>
          <w:b/>
          <w:sz w:val="20"/>
        </w:rPr>
        <w:t xml:space="preserve">Glutaminase from </w:t>
      </w:r>
      <w:r w:rsidRPr="00A47556">
        <w:rPr>
          <w:b/>
          <w:i/>
          <w:sz w:val="20"/>
        </w:rPr>
        <w:t>Bacillus amyloliquefaciens</w:t>
      </w:r>
      <w:r>
        <w:rPr>
          <w:b/>
          <w:sz w:val="20"/>
        </w:rPr>
        <w:t xml:space="preserve"> as a Processing Aid (Enzyme))</w:t>
      </w:r>
      <w:r w:rsidRPr="00C0014E">
        <w:rPr>
          <w:b/>
          <w:sz w:val="20"/>
        </w:rPr>
        <w:t xml:space="preserve"> Variation</w:t>
      </w:r>
    </w:p>
    <w:p w14:paraId="0447EA0B" w14:textId="77777777" w:rsidR="00F00C58" w:rsidRPr="00C0014E" w:rsidRDefault="00F00C58" w:rsidP="00F00C58">
      <w:pPr>
        <w:pBdr>
          <w:bottom w:val="single" w:sz="4" w:space="1" w:color="auto"/>
        </w:pBdr>
        <w:rPr>
          <w:b/>
          <w:sz w:val="20"/>
        </w:rPr>
      </w:pPr>
    </w:p>
    <w:p w14:paraId="55EA61EA" w14:textId="77777777" w:rsidR="00F00C58" w:rsidRPr="008F2616" w:rsidRDefault="00F00C58" w:rsidP="00F00C58">
      <w:pPr>
        <w:rPr>
          <w:sz w:val="20"/>
        </w:rPr>
      </w:pPr>
    </w:p>
    <w:p w14:paraId="1BBB3782" w14:textId="77777777" w:rsidR="00F00C58" w:rsidRPr="008F2616" w:rsidRDefault="00F00C58" w:rsidP="00F00C5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84D4679" w14:textId="77777777" w:rsidR="00F00C58" w:rsidRPr="008F2616" w:rsidRDefault="00F00C58" w:rsidP="00F00C58">
      <w:pPr>
        <w:rPr>
          <w:sz w:val="20"/>
        </w:rPr>
      </w:pPr>
    </w:p>
    <w:p w14:paraId="47957E67" w14:textId="77777777" w:rsidR="00F00C58" w:rsidRPr="008F2616" w:rsidRDefault="00F00C58" w:rsidP="00F00C58">
      <w:pPr>
        <w:rPr>
          <w:sz w:val="20"/>
        </w:rPr>
      </w:pPr>
      <w:r w:rsidRPr="008F2616">
        <w:rPr>
          <w:sz w:val="20"/>
        </w:rPr>
        <w:t xml:space="preserve">Dated </w:t>
      </w:r>
      <w:r>
        <w:rPr>
          <w:sz w:val="20"/>
        </w:rPr>
        <w:t>[To be completed by Standards Management Officer]</w:t>
      </w:r>
    </w:p>
    <w:p w14:paraId="4D1F0537" w14:textId="77777777" w:rsidR="00F00C58" w:rsidRPr="008F2616" w:rsidRDefault="00F00C58" w:rsidP="00F00C58">
      <w:pPr>
        <w:rPr>
          <w:sz w:val="20"/>
        </w:rPr>
      </w:pPr>
    </w:p>
    <w:p w14:paraId="3A17F9FB" w14:textId="77777777" w:rsidR="00F00C58" w:rsidRDefault="00F00C58" w:rsidP="00F00C58">
      <w:pPr>
        <w:rPr>
          <w:sz w:val="20"/>
        </w:rPr>
      </w:pPr>
    </w:p>
    <w:p w14:paraId="44DDD458" w14:textId="77777777" w:rsidR="00F00C58" w:rsidRDefault="00F00C58" w:rsidP="00F00C58">
      <w:pPr>
        <w:rPr>
          <w:sz w:val="20"/>
        </w:rPr>
      </w:pPr>
    </w:p>
    <w:p w14:paraId="0D281CB9" w14:textId="77777777" w:rsidR="00F00C58" w:rsidRPr="008F2616" w:rsidRDefault="00F00C58" w:rsidP="00F00C58">
      <w:pPr>
        <w:rPr>
          <w:sz w:val="20"/>
        </w:rPr>
      </w:pPr>
    </w:p>
    <w:p w14:paraId="56E29622" w14:textId="77777777" w:rsidR="00F00C58" w:rsidRPr="008F2616" w:rsidRDefault="00F00C58" w:rsidP="00F00C58">
      <w:pPr>
        <w:rPr>
          <w:sz w:val="20"/>
        </w:rPr>
      </w:pPr>
    </w:p>
    <w:p w14:paraId="4DA687A5" w14:textId="77777777" w:rsidR="00F00C58" w:rsidRPr="008F2616" w:rsidRDefault="00F00C58" w:rsidP="00F00C58">
      <w:pPr>
        <w:rPr>
          <w:sz w:val="20"/>
        </w:rPr>
      </w:pPr>
      <w:r w:rsidRPr="008F2616">
        <w:rPr>
          <w:sz w:val="20"/>
        </w:rPr>
        <w:t>Standards Management Officer</w:t>
      </w:r>
    </w:p>
    <w:p w14:paraId="08AE90FF" w14:textId="77777777" w:rsidR="00F00C58" w:rsidRPr="008F2616" w:rsidRDefault="00F00C58" w:rsidP="00F00C58">
      <w:pPr>
        <w:rPr>
          <w:sz w:val="20"/>
        </w:rPr>
      </w:pPr>
      <w:r w:rsidRPr="008F2616">
        <w:rPr>
          <w:sz w:val="20"/>
        </w:rPr>
        <w:t>Delegate of the Board of Food Standards Australia New Zealand</w:t>
      </w:r>
    </w:p>
    <w:p w14:paraId="2BFD4820" w14:textId="77777777" w:rsidR="00F00C58" w:rsidRDefault="00F00C58" w:rsidP="00F00C58">
      <w:pPr>
        <w:rPr>
          <w:sz w:val="20"/>
        </w:rPr>
      </w:pPr>
    </w:p>
    <w:p w14:paraId="2EC4C406" w14:textId="77777777" w:rsidR="00F00C58" w:rsidRDefault="00F00C58" w:rsidP="00F00C58">
      <w:pPr>
        <w:rPr>
          <w:sz w:val="20"/>
        </w:rPr>
      </w:pPr>
    </w:p>
    <w:p w14:paraId="4DA0F032" w14:textId="77777777" w:rsidR="00F00C58" w:rsidRDefault="00F00C58" w:rsidP="00F00C58">
      <w:pPr>
        <w:rPr>
          <w:sz w:val="20"/>
        </w:rPr>
      </w:pPr>
    </w:p>
    <w:p w14:paraId="322B9C16" w14:textId="77777777" w:rsidR="00F00C58" w:rsidRDefault="00F00C58" w:rsidP="00F00C58">
      <w:pPr>
        <w:rPr>
          <w:sz w:val="20"/>
        </w:rPr>
      </w:pPr>
    </w:p>
    <w:p w14:paraId="4E0FBD60" w14:textId="77777777" w:rsidR="00F00C58" w:rsidRDefault="00F00C58" w:rsidP="00F00C58">
      <w:pPr>
        <w:rPr>
          <w:sz w:val="20"/>
        </w:rPr>
      </w:pPr>
    </w:p>
    <w:p w14:paraId="4CE0ED5B" w14:textId="77777777" w:rsidR="00F00C58" w:rsidRPr="00360C8F" w:rsidRDefault="00F00C58" w:rsidP="00F00C58">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6BFEA1F5" w14:textId="77777777" w:rsidR="00F00C58" w:rsidRPr="00360C8F" w:rsidRDefault="00F00C58" w:rsidP="00F00C58">
      <w:pPr>
        <w:pBdr>
          <w:top w:val="single" w:sz="4" w:space="1" w:color="auto"/>
          <w:left w:val="single" w:sz="4" w:space="4" w:color="auto"/>
          <w:bottom w:val="single" w:sz="4" w:space="1" w:color="auto"/>
          <w:right w:val="single" w:sz="4" w:space="4" w:color="auto"/>
        </w:pBdr>
        <w:rPr>
          <w:sz w:val="20"/>
          <w:lang w:val="en-AU"/>
        </w:rPr>
      </w:pPr>
    </w:p>
    <w:p w14:paraId="22983568" w14:textId="77777777" w:rsidR="00F00C58" w:rsidRPr="00360C8F" w:rsidRDefault="00F00C58" w:rsidP="00F00C58">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4445A4EE" w14:textId="77777777" w:rsidR="00F00C58" w:rsidRDefault="00F00C58" w:rsidP="00F00C58">
      <w:pPr>
        <w:rPr>
          <w:sz w:val="20"/>
        </w:rPr>
      </w:pPr>
    </w:p>
    <w:p w14:paraId="6BB435D4" w14:textId="38A9C7D6" w:rsidR="00F00C58" w:rsidRPr="005F585D" w:rsidRDefault="00F00C58" w:rsidP="00F00C58">
      <w:pPr>
        <w:pStyle w:val="FSCDraftingitemheading"/>
      </w:pPr>
      <w:r>
        <w:br w:type="page"/>
      </w:r>
      <w:r>
        <w:lastRenderedPageBreak/>
        <w:t>1</w:t>
      </w:r>
      <w:r>
        <w:tab/>
      </w:r>
      <w:r w:rsidRPr="00D433B1">
        <w:t>Name</w:t>
      </w:r>
    </w:p>
    <w:p w14:paraId="7B81F5E1" w14:textId="77777777" w:rsidR="00F00C58" w:rsidRPr="00F618DF" w:rsidRDefault="00F00C58" w:rsidP="00F00C58">
      <w:pPr>
        <w:pStyle w:val="FSCDraftingitem"/>
      </w:pPr>
      <w:r w:rsidRPr="00DB170D">
        <w:t xml:space="preserve">This instrument is the </w:t>
      </w:r>
      <w:r w:rsidRPr="00792F7C">
        <w:rPr>
          <w:i/>
        </w:rPr>
        <w:t>Food Standards (Application A</w:t>
      </w:r>
      <w:r>
        <w:rPr>
          <w:i/>
        </w:rPr>
        <w:t>1109</w:t>
      </w:r>
      <w:r w:rsidRPr="00792F7C">
        <w:rPr>
          <w:i/>
        </w:rPr>
        <w:t xml:space="preserve"> – </w:t>
      </w:r>
      <w:r>
        <w:rPr>
          <w:i/>
        </w:rPr>
        <w:t xml:space="preserve">Glutaminase from </w:t>
      </w:r>
      <w:r w:rsidRPr="007012D1">
        <w:rPr>
          <w:i/>
        </w:rPr>
        <w:t>Bacillus</w:t>
      </w:r>
      <w:r w:rsidRPr="005A1E4F">
        <w:t xml:space="preserve"> amyloliquefaciens</w:t>
      </w:r>
      <w:r>
        <w:rPr>
          <w:i/>
        </w:rPr>
        <w:t xml:space="preserve"> as a Processing Aid (Enzyme)) </w:t>
      </w:r>
      <w:r w:rsidRPr="00792F7C">
        <w:rPr>
          <w:i/>
        </w:rPr>
        <w:t>Variation</w:t>
      </w:r>
      <w:r w:rsidRPr="00F618DF">
        <w:t>.</w:t>
      </w:r>
    </w:p>
    <w:p w14:paraId="43C2C049" w14:textId="77777777" w:rsidR="00F00C58" w:rsidRPr="00D433B1" w:rsidRDefault="00F00C58" w:rsidP="00F00C58">
      <w:pPr>
        <w:pStyle w:val="FSCDraftingitemheading"/>
      </w:pPr>
      <w:r>
        <w:t>2</w:t>
      </w:r>
      <w:r>
        <w:tab/>
        <w:t>Variation to a s</w:t>
      </w:r>
      <w:r w:rsidRPr="00D433B1">
        <w:t xml:space="preserve">tandard in the </w:t>
      </w:r>
      <w:r w:rsidRPr="005A1E4F">
        <w:rPr>
          <w:i/>
        </w:rPr>
        <w:t>Australia New Zealand Food Standards Code</w:t>
      </w:r>
    </w:p>
    <w:p w14:paraId="21577AA0" w14:textId="77777777" w:rsidR="00F00C58" w:rsidRDefault="00F00C58" w:rsidP="00F00C58">
      <w:pPr>
        <w:pStyle w:val="FSCDraftingitem"/>
      </w:pPr>
      <w:r>
        <w:t xml:space="preserve">The Schedule varies a Schedule in the </w:t>
      </w:r>
      <w:r w:rsidRPr="00792F7C">
        <w:rPr>
          <w:i/>
        </w:rPr>
        <w:t>Australia New Zealand Food Standards Code</w:t>
      </w:r>
      <w:r>
        <w:t>.</w:t>
      </w:r>
    </w:p>
    <w:p w14:paraId="34081841" w14:textId="77777777" w:rsidR="00F00C58" w:rsidRPr="00D433B1" w:rsidRDefault="00F00C58" w:rsidP="00F00C58">
      <w:pPr>
        <w:pStyle w:val="FSCDraftingitemheading"/>
      </w:pPr>
      <w:r w:rsidRPr="00D433B1">
        <w:t>3</w:t>
      </w:r>
      <w:r w:rsidRPr="00D433B1">
        <w:tab/>
        <w:t>Commencement</w:t>
      </w:r>
    </w:p>
    <w:p w14:paraId="35973E12" w14:textId="77777777" w:rsidR="00F00C58" w:rsidRDefault="00F00C58" w:rsidP="00F00C58">
      <w:pPr>
        <w:pStyle w:val="FSCDraftingitem"/>
      </w:pPr>
      <w:r>
        <w:t>The variation commenc</w:t>
      </w:r>
      <w:r w:rsidRPr="000055C4">
        <w:t>e</w:t>
      </w:r>
      <w:r>
        <w:t>s</w:t>
      </w:r>
      <w:r w:rsidRPr="000055C4">
        <w:t xml:space="preserve"> on</w:t>
      </w:r>
      <w:r>
        <w:t xml:space="preserve"> the date of gazettal.</w:t>
      </w:r>
    </w:p>
    <w:p w14:paraId="063504D2" w14:textId="77777777" w:rsidR="00F00C58" w:rsidRPr="00D433B1" w:rsidRDefault="00F00C58" w:rsidP="00F00C58">
      <w:pPr>
        <w:jc w:val="center"/>
        <w:rPr>
          <w:b/>
          <w:sz w:val="20"/>
        </w:rPr>
      </w:pPr>
      <w:r w:rsidRPr="00D433B1">
        <w:rPr>
          <w:b/>
          <w:sz w:val="20"/>
        </w:rPr>
        <w:t>Schedule</w:t>
      </w:r>
    </w:p>
    <w:p w14:paraId="3B069C52" w14:textId="77777777" w:rsidR="00F00C58" w:rsidRDefault="00F00C58" w:rsidP="00F00C58">
      <w:pPr>
        <w:pStyle w:val="FSCDraftingitem"/>
      </w:pPr>
      <w:r w:rsidRPr="00DA14FC">
        <w:rPr>
          <w:b/>
          <w:lang w:bidi="en-US"/>
        </w:rPr>
        <w:t>[1]</w:t>
      </w:r>
      <w:r w:rsidRPr="00DA14FC">
        <w:rPr>
          <w:b/>
          <w:lang w:bidi="en-US"/>
        </w:rPr>
        <w:tab/>
      </w:r>
      <w:r w:rsidRPr="00FC4576">
        <w:rPr>
          <w:b/>
          <w:lang w:bidi="en-US"/>
        </w:rPr>
        <w:t>Schedule S18</w:t>
      </w:r>
      <w:r w:rsidRPr="00FC4576">
        <w:rPr>
          <w:lang w:bidi="en-US"/>
        </w:rPr>
        <w:t xml:space="preserve"> </w:t>
      </w:r>
      <w:r w:rsidRPr="00CC2E5B">
        <w:rPr>
          <w:lang w:bidi="en-US"/>
        </w:rPr>
        <w:t xml:space="preserve">is varied </w:t>
      </w:r>
      <w:r w:rsidRPr="00FC4576">
        <w:rPr>
          <w:lang w:bidi="en-US"/>
        </w:rPr>
        <w:t>by</w:t>
      </w:r>
      <w:r w:rsidRPr="00FC4576">
        <w:t xml:space="preserve"> inserting in the table to subsection S18—4(5), in alphabetical order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00C58" w:rsidRPr="001D1563" w14:paraId="70F51119" w14:textId="77777777" w:rsidTr="003A7F73">
        <w:trPr>
          <w:cantSplit/>
        </w:trPr>
        <w:tc>
          <w:tcPr>
            <w:tcW w:w="3369" w:type="dxa"/>
            <w:tcBorders>
              <w:top w:val="nil"/>
              <w:bottom w:val="nil"/>
            </w:tcBorders>
          </w:tcPr>
          <w:p w14:paraId="07A7B9D4" w14:textId="77777777" w:rsidR="00F00C58" w:rsidRPr="001D1563" w:rsidRDefault="00F00C58" w:rsidP="003A7F73">
            <w:pPr>
              <w:pStyle w:val="FSCtblMain"/>
            </w:pPr>
            <w:r>
              <w:t>Glutaminase (EC 3.5.1.2)</w:t>
            </w:r>
          </w:p>
        </w:tc>
        <w:tc>
          <w:tcPr>
            <w:tcW w:w="5703" w:type="dxa"/>
            <w:tcBorders>
              <w:top w:val="nil"/>
              <w:bottom w:val="nil"/>
            </w:tcBorders>
          </w:tcPr>
          <w:p w14:paraId="4890AACB" w14:textId="77777777" w:rsidR="00F00C58" w:rsidRPr="001D1563" w:rsidRDefault="00F00C58" w:rsidP="003A7F73">
            <w:pPr>
              <w:pStyle w:val="FSCtblMain"/>
            </w:pPr>
            <w:r>
              <w:rPr>
                <w:i/>
              </w:rPr>
              <w:t>Bacillus amyloliquefaciens</w:t>
            </w:r>
          </w:p>
        </w:tc>
      </w:tr>
    </w:tbl>
    <w:p w14:paraId="049DE6BE" w14:textId="77777777" w:rsidR="00F00C58" w:rsidRDefault="00F00C58" w:rsidP="00F00C58">
      <w:pPr>
        <w:pStyle w:val="HR"/>
        <w:ind w:left="0" w:firstLine="0"/>
        <w:rPr>
          <w:lang w:eastAsia="en-GB"/>
        </w:rPr>
      </w:pPr>
      <w:r w:rsidRPr="00972DE7">
        <w:rPr>
          <w:rFonts w:cs="Arial"/>
          <w:color w:val="00B0F0"/>
          <w:sz w:val="22"/>
          <w:szCs w:val="22"/>
        </w:rPr>
        <w:br w:type="page"/>
      </w:r>
    </w:p>
    <w:p w14:paraId="0614CC9E" w14:textId="64643B26" w:rsidR="00456BD5" w:rsidRDefault="005E06C0" w:rsidP="00F00C58">
      <w:pPr>
        <w:pStyle w:val="Heading2"/>
        <w:ind w:left="0" w:firstLine="0"/>
      </w:pPr>
      <w:bookmarkStart w:id="139" w:name="_Toc447109138"/>
      <w:r w:rsidRPr="00932F14">
        <w:lastRenderedPageBreak/>
        <w:t xml:space="preserve">Attachment </w:t>
      </w:r>
      <w:r>
        <w:t xml:space="preserve">B – </w:t>
      </w:r>
      <w:r w:rsidR="00456BD5">
        <w:t>Explanatory Statement</w:t>
      </w:r>
      <w:bookmarkEnd w:id="139"/>
    </w:p>
    <w:p w14:paraId="66FA7BAC"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3267711E" w14:textId="77777777" w:rsidR="00456BD5" w:rsidRDefault="00456BD5" w:rsidP="00456BD5">
      <w:pPr>
        <w:rPr>
          <w:lang w:val="en-AU" w:eastAsia="en-GB" w:bidi="ar-SA"/>
        </w:rPr>
      </w:pPr>
    </w:p>
    <w:p w14:paraId="232FDBC0" w14:textId="77777777" w:rsidR="00F00C58" w:rsidRPr="00D13E34" w:rsidRDefault="00F00C58" w:rsidP="00F00C5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E0E0C1E" w14:textId="77777777" w:rsidR="00F00C58" w:rsidRPr="00D13E34" w:rsidRDefault="00F00C58" w:rsidP="00F00C58">
      <w:pPr>
        <w:widowControl/>
        <w:autoSpaceDE w:val="0"/>
        <w:autoSpaceDN w:val="0"/>
        <w:adjustRightInd w:val="0"/>
        <w:rPr>
          <w:rFonts w:eastAsia="Calibri" w:cs="Arial"/>
          <w:bCs/>
          <w:szCs w:val="22"/>
          <w:lang w:val="en-AU" w:bidi="ar-SA"/>
        </w:rPr>
      </w:pPr>
    </w:p>
    <w:p w14:paraId="7BF3E404" w14:textId="77777777" w:rsidR="00F00C58" w:rsidRPr="00995385" w:rsidRDefault="00F00C58" w:rsidP="00F00C58">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67F56BA" w14:textId="77777777" w:rsidR="00F00C58" w:rsidRPr="00995385" w:rsidRDefault="00F00C58" w:rsidP="00F00C58">
      <w:pPr>
        <w:widowControl/>
        <w:autoSpaceDE w:val="0"/>
        <w:autoSpaceDN w:val="0"/>
        <w:adjustRightInd w:val="0"/>
        <w:rPr>
          <w:rFonts w:eastAsia="Calibri" w:cs="Arial"/>
          <w:bCs/>
          <w:szCs w:val="22"/>
          <w:lang w:val="en-AU" w:bidi="ar-SA"/>
        </w:rPr>
      </w:pPr>
    </w:p>
    <w:p w14:paraId="6E2EFF59" w14:textId="09CE48B8" w:rsidR="00F00C58" w:rsidRPr="00995385" w:rsidRDefault="00F00C58" w:rsidP="00F00C58">
      <w:pPr>
        <w:widowControl/>
        <w:autoSpaceDE w:val="0"/>
        <w:autoSpaceDN w:val="0"/>
        <w:adjustRightInd w:val="0"/>
        <w:rPr>
          <w:rFonts w:eastAsia="Calibri" w:cs="Arial"/>
          <w:bCs/>
          <w:szCs w:val="22"/>
          <w:lang w:val="en-AU" w:bidi="ar-SA"/>
        </w:rPr>
      </w:pPr>
      <w:r w:rsidRPr="00995385">
        <w:rPr>
          <w:rFonts w:eastAsia="Calibri" w:cs="Arial"/>
          <w:bCs/>
          <w:szCs w:val="22"/>
          <w:lang w:val="en-AU" w:bidi="ar-SA"/>
        </w:rPr>
        <w:t>FSANZ accepted Application A</w:t>
      </w:r>
      <w:r>
        <w:rPr>
          <w:rFonts w:eastAsia="Calibri" w:cs="Arial"/>
          <w:bCs/>
          <w:szCs w:val="22"/>
          <w:lang w:val="en-AU" w:bidi="ar-SA"/>
        </w:rPr>
        <w:t>1109</w:t>
      </w:r>
      <w:r w:rsidRPr="00995385">
        <w:rPr>
          <w:rFonts w:eastAsia="Calibri" w:cs="Arial"/>
          <w:bCs/>
          <w:szCs w:val="22"/>
          <w:lang w:val="en-AU" w:bidi="ar-SA"/>
        </w:rPr>
        <w:t xml:space="preserve"> which </w:t>
      </w:r>
      <w:r>
        <w:rPr>
          <w:rFonts w:eastAsia="Calibri" w:cs="Arial"/>
          <w:bCs/>
          <w:szCs w:val="22"/>
          <w:lang w:val="en-AU" w:bidi="ar-SA"/>
        </w:rPr>
        <w:t>sought</w:t>
      </w:r>
      <w:r w:rsidRPr="00995385">
        <w:rPr>
          <w:rFonts w:eastAsia="Calibri" w:cs="Arial"/>
          <w:bCs/>
          <w:szCs w:val="22"/>
          <w:lang w:val="en-AU" w:bidi="ar-SA"/>
        </w:rPr>
        <w:t xml:space="preserve"> to permit glutaminase </w:t>
      </w:r>
      <w:r>
        <w:rPr>
          <w:rFonts w:eastAsia="Calibri" w:cs="Arial"/>
          <w:bCs/>
          <w:szCs w:val="22"/>
          <w:lang w:val="en-AU" w:bidi="ar-SA"/>
        </w:rPr>
        <w:t>sourced</w:t>
      </w:r>
      <w:r w:rsidRPr="00995385">
        <w:rPr>
          <w:rFonts w:eastAsia="Calibri" w:cs="Arial"/>
          <w:bCs/>
          <w:szCs w:val="22"/>
          <w:lang w:val="en-AU" w:bidi="ar-SA"/>
        </w:rPr>
        <w:t xml:space="preserve"> from </w:t>
      </w:r>
      <w:r w:rsidR="00005DB4" w:rsidRPr="00E65EEB">
        <w:rPr>
          <w:i/>
        </w:rPr>
        <w:t xml:space="preserve">Bacillus amyloliquefaciens </w:t>
      </w:r>
      <w:r w:rsidR="00005DB4">
        <w:t>(</w:t>
      </w:r>
      <w:r w:rsidRPr="00995385">
        <w:rPr>
          <w:rFonts w:eastAsia="Calibri" w:cs="Arial"/>
          <w:bCs/>
          <w:i/>
          <w:szCs w:val="22"/>
          <w:lang w:val="en-AU" w:bidi="ar-SA"/>
        </w:rPr>
        <w:t>B.</w:t>
      </w:r>
      <w:r>
        <w:rPr>
          <w:rFonts w:eastAsia="Calibri" w:cs="Arial"/>
          <w:bCs/>
          <w:i/>
          <w:szCs w:val="22"/>
          <w:lang w:val="en-AU" w:bidi="ar-SA"/>
        </w:rPr>
        <w:t> </w:t>
      </w:r>
      <w:r w:rsidRPr="00995385">
        <w:rPr>
          <w:rFonts w:eastAsia="Calibri" w:cs="Arial"/>
          <w:bCs/>
          <w:i/>
          <w:szCs w:val="22"/>
          <w:lang w:val="en-AU" w:bidi="ar-SA"/>
        </w:rPr>
        <w:t>amyloliquefaciens</w:t>
      </w:r>
      <w:r w:rsidR="00005DB4">
        <w:rPr>
          <w:rFonts w:eastAsia="Calibri" w:cs="Arial"/>
          <w:bCs/>
          <w:szCs w:val="22"/>
          <w:lang w:val="en-AU" w:bidi="ar-SA"/>
        </w:rPr>
        <w:t>)</w:t>
      </w:r>
      <w:r w:rsidRPr="00995385">
        <w:rPr>
          <w:rFonts w:eastAsia="Calibri" w:cs="Arial"/>
          <w:bCs/>
          <w:i/>
          <w:szCs w:val="22"/>
          <w:lang w:val="en-AU" w:bidi="ar-SA"/>
        </w:rPr>
        <w:t xml:space="preserve"> </w:t>
      </w:r>
      <w:r w:rsidRPr="00995385">
        <w:rPr>
          <w:rFonts w:eastAsia="Calibri" w:cs="Arial"/>
          <w:bCs/>
          <w:szCs w:val="22"/>
          <w:lang w:val="en-AU" w:bidi="ar-SA"/>
        </w:rPr>
        <w:t>as a processing aid</w:t>
      </w:r>
      <w:r>
        <w:rPr>
          <w:rFonts w:eastAsia="Calibri" w:cs="Arial"/>
          <w:bCs/>
          <w:szCs w:val="22"/>
          <w:lang w:val="en-AU" w:bidi="ar-SA"/>
        </w:rPr>
        <w:t>. The enzyme</w:t>
      </w:r>
      <w:r w:rsidRPr="00995385">
        <w:rPr>
          <w:rFonts w:eastAsia="Calibri" w:cs="Arial"/>
          <w:bCs/>
          <w:szCs w:val="22"/>
          <w:lang w:val="en-AU" w:bidi="ar-SA"/>
        </w:rPr>
        <w:t xml:space="preserve"> </w:t>
      </w:r>
      <w:r>
        <w:rPr>
          <w:rFonts w:eastAsia="Calibri" w:cs="Arial"/>
          <w:bCs/>
          <w:szCs w:val="22"/>
          <w:lang w:val="en-AU" w:bidi="ar-SA"/>
        </w:rPr>
        <w:t xml:space="preserve">would be used </w:t>
      </w:r>
      <w:r w:rsidRPr="00995385">
        <w:rPr>
          <w:rFonts w:eastAsia="Calibri" w:cs="Arial"/>
          <w:bCs/>
          <w:szCs w:val="22"/>
          <w:lang w:val="en-AU" w:bidi="ar-SA"/>
        </w:rPr>
        <w:t>in the production of certain seasoning ingredients or food</w:t>
      </w:r>
      <w:r>
        <w:rPr>
          <w:rFonts w:eastAsia="Calibri" w:cs="Arial"/>
          <w:bCs/>
          <w:szCs w:val="22"/>
          <w:lang w:val="en-AU" w:bidi="ar-SA"/>
        </w:rPr>
        <w:t xml:space="preserve"> product</w:t>
      </w:r>
      <w:r w:rsidRPr="00995385">
        <w:rPr>
          <w:rFonts w:eastAsia="Calibri" w:cs="Arial"/>
          <w:bCs/>
          <w:szCs w:val="22"/>
          <w:lang w:val="en-AU" w:bidi="ar-SA"/>
        </w:rPr>
        <w:t xml:space="preserve">s used </w:t>
      </w:r>
      <w:r>
        <w:rPr>
          <w:rFonts w:eastAsia="Calibri" w:cs="Arial"/>
          <w:bCs/>
          <w:szCs w:val="22"/>
          <w:lang w:val="en-AU" w:bidi="ar-SA"/>
        </w:rPr>
        <w:t>as</w:t>
      </w:r>
      <w:r w:rsidRPr="00995385">
        <w:rPr>
          <w:rFonts w:eastAsia="Calibri" w:cs="Arial"/>
          <w:bCs/>
          <w:szCs w:val="22"/>
          <w:lang w:val="en-AU" w:bidi="ar-SA"/>
        </w:rPr>
        <w:t xml:space="preserve"> seasoning</w:t>
      </w:r>
      <w:r>
        <w:rPr>
          <w:rFonts w:eastAsia="Calibri" w:cs="Arial"/>
          <w:bCs/>
          <w:szCs w:val="22"/>
          <w:lang w:val="en-AU" w:bidi="ar-SA"/>
        </w:rPr>
        <w:t>s</w:t>
      </w:r>
      <w:r w:rsidRPr="00995385">
        <w:rPr>
          <w:rFonts w:eastAsia="Calibri" w:cs="Arial"/>
          <w:bCs/>
          <w:szCs w:val="22"/>
          <w:lang w:val="en-AU" w:bidi="ar-SA"/>
        </w:rPr>
        <w:t>.</w:t>
      </w:r>
      <w:r>
        <w:rPr>
          <w:rFonts w:eastAsia="Calibri" w:cs="Arial"/>
          <w:bCs/>
          <w:szCs w:val="22"/>
          <w:lang w:val="en-AU" w:bidi="ar-SA"/>
        </w:rPr>
        <w:t xml:space="preserve"> </w:t>
      </w:r>
      <w:r w:rsidRPr="00995385">
        <w:rPr>
          <w:rFonts w:eastAsia="Calibri" w:cs="Arial"/>
          <w:bCs/>
          <w:szCs w:val="22"/>
          <w:lang w:val="en-AU" w:bidi="ar-SA"/>
        </w:rPr>
        <w:t xml:space="preserve">The Authority considered the Application in accordance with Division 1 of Part 3 and prepared a draft </w:t>
      </w:r>
      <w:r>
        <w:rPr>
          <w:rFonts w:eastAsia="Calibri" w:cs="Arial"/>
          <w:bCs/>
          <w:szCs w:val="22"/>
          <w:lang w:val="en-AU" w:bidi="ar-SA"/>
        </w:rPr>
        <w:t>variation to the Code</w:t>
      </w:r>
      <w:r w:rsidRPr="00995385">
        <w:rPr>
          <w:rFonts w:eastAsia="Calibri" w:cs="Arial"/>
          <w:bCs/>
          <w:szCs w:val="22"/>
          <w:lang w:val="en-AU" w:bidi="ar-SA"/>
        </w:rPr>
        <w:t xml:space="preserve">. </w:t>
      </w:r>
    </w:p>
    <w:p w14:paraId="5264456F" w14:textId="77777777" w:rsidR="00456BD5" w:rsidRPr="00D13E34" w:rsidRDefault="00456BD5" w:rsidP="00456BD5">
      <w:pPr>
        <w:widowControl/>
        <w:autoSpaceDE w:val="0"/>
        <w:autoSpaceDN w:val="0"/>
        <w:adjustRightInd w:val="0"/>
        <w:rPr>
          <w:rFonts w:eastAsia="Calibri" w:cs="Arial"/>
          <w:bCs/>
          <w:szCs w:val="22"/>
          <w:lang w:val="en-AU" w:bidi="ar-SA"/>
        </w:rPr>
      </w:pPr>
    </w:p>
    <w:p w14:paraId="6BC89913"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9A5615F" w14:textId="77777777" w:rsidR="00456BD5" w:rsidRPr="00D13E34" w:rsidRDefault="00456BD5" w:rsidP="00456BD5">
      <w:pPr>
        <w:widowControl/>
        <w:autoSpaceDE w:val="0"/>
        <w:autoSpaceDN w:val="0"/>
        <w:adjustRightInd w:val="0"/>
        <w:rPr>
          <w:rFonts w:eastAsia="Calibri" w:cs="Arial"/>
          <w:bCs/>
          <w:szCs w:val="22"/>
          <w:lang w:val="en-AU" w:bidi="ar-SA"/>
        </w:rPr>
      </w:pPr>
    </w:p>
    <w:p w14:paraId="2895298B" w14:textId="6755D0F0"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7D677D87" w14:textId="77777777" w:rsidR="00456BD5" w:rsidRDefault="00456BD5" w:rsidP="00456BD5">
      <w:pPr>
        <w:rPr>
          <w:lang w:val="en-AU" w:eastAsia="en-GB" w:bidi="ar-SA"/>
        </w:rPr>
      </w:pPr>
    </w:p>
    <w:p w14:paraId="0647A18D"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050D5B4B" w14:textId="77777777" w:rsidR="00456BD5" w:rsidRDefault="00456BD5" w:rsidP="00456BD5">
      <w:pPr>
        <w:rPr>
          <w:lang w:val="en-AU" w:eastAsia="en-GB" w:bidi="ar-SA"/>
        </w:rPr>
      </w:pPr>
    </w:p>
    <w:p w14:paraId="5A24BB04" w14:textId="27BA9DCE" w:rsidR="00F00C58" w:rsidRPr="00345928" w:rsidRDefault="00456BD5" w:rsidP="00F00C58">
      <w:pPr>
        <w:rPr>
          <w:lang w:val="en-AU" w:eastAsia="en-GB" w:bidi="ar-SA"/>
        </w:rPr>
      </w:pPr>
      <w:r>
        <w:rPr>
          <w:lang w:val="en-AU" w:eastAsia="en-GB" w:bidi="ar-SA"/>
        </w:rPr>
        <w:t xml:space="preserve">The Authority has approved </w:t>
      </w:r>
      <w:r w:rsidR="00F00C58">
        <w:rPr>
          <w:lang w:val="en-AU" w:eastAsia="en-GB" w:bidi="ar-SA"/>
        </w:rPr>
        <w:t xml:space="preserve">the use of the enzyme, glutaminase, sourced from </w:t>
      </w:r>
      <w:r w:rsidR="00F00C58" w:rsidRPr="005F3677">
        <w:rPr>
          <w:i/>
        </w:rPr>
        <w:t>B</w:t>
      </w:r>
      <w:r w:rsidR="00F00C58">
        <w:rPr>
          <w:i/>
        </w:rPr>
        <w:t>.</w:t>
      </w:r>
      <w:r w:rsidR="003A7F73">
        <w:rPr>
          <w:i/>
        </w:rPr>
        <w:t> </w:t>
      </w:r>
      <w:r w:rsidR="00F00C58" w:rsidRPr="005F3677">
        <w:rPr>
          <w:i/>
        </w:rPr>
        <w:t>amyloliquefaciens</w:t>
      </w:r>
      <w:r w:rsidR="00F00C58">
        <w:rPr>
          <w:i/>
        </w:rPr>
        <w:t xml:space="preserve"> </w:t>
      </w:r>
      <w:r w:rsidR="00F00C58" w:rsidRPr="00345928">
        <w:t>as a processing aid. This require</w:t>
      </w:r>
      <w:r w:rsidR="00F00C58">
        <w:t>d</w:t>
      </w:r>
      <w:r w:rsidR="00F00C58" w:rsidRPr="00345928">
        <w:t xml:space="preserve"> an addition to the table to subsection S18––4(5) in Schedule 18</w:t>
      </w:r>
      <w:r w:rsidR="00F00C58">
        <w:t xml:space="preserve"> of the Code</w:t>
      </w:r>
      <w:r w:rsidR="00F00C58" w:rsidRPr="00345928">
        <w:t>.</w:t>
      </w:r>
    </w:p>
    <w:p w14:paraId="395CCB6C" w14:textId="3831660C" w:rsidR="00456BD5" w:rsidRDefault="00456BD5" w:rsidP="00456BD5">
      <w:pPr>
        <w:rPr>
          <w:lang w:val="en-AU" w:eastAsia="en-GB" w:bidi="ar-SA"/>
        </w:rPr>
      </w:pPr>
    </w:p>
    <w:p w14:paraId="37F4C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46195F0" w14:textId="77777777" w:rsidR="00456BD5" w:rsidRDefault="00456BD5" w:rsidP="00456BD5">
      <w:pPr>
        <w:rPr>
          <w:lang w:val="en-AU" w:eastAsia="en-GB" w:bidi="ar-SA"/>
        </w:rPr>
      </w:pPr>
    </w:p>
    <w:p w14:paraId="6EC1E9A2" w14:textId="03DE3896"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 to food regulatory measures do</w:t>
      </w:r>
      <w:r w:rsidR="00F6142A">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202CD6B4" w14:textId="77777777" w:rsidR="00456BD5" w:rsidRDefault="00456BD5" w:rsidP="00456BD5">
      <w:pPr>
        <w:rPr>
          <w:lang w:val="en-AU" w:eastAsia="en-GB" w:bidi="ar-SA"/>
        </w:rPr>
      </w:pPr>
    </w:p>
    <w:p w14:paraId="73356B9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636E5706" w14:textId="77777777" w:rsidR="00456BD5" w:rsidRDefault="00456BD5" w:rsidP="00456BD5">
      <w:pPr>
        <w:rPr>
          <w:lang w:val="en-AU" w:eastAsia="en-GB" w:bidi="ar-SA"/>
        </w:rPr>
      </w:pPr>
    </w:p>
    <w:p w14:paraId="1B0D7E16" w14:textId="77CF5717" w:rsidR="00456BD5" w:rsidRDefault="00456BD5" w:rsidP="00456BD5">
      <w:pPr>
        <w:rPr>
          <w:szCs w:val="22"/>
        </w:rPr>
      </w:pPr>
      <w:r w:rsidRPr="00F634A1">
        <w:rPr>
          <w:szCs w:val="22"/>
        </w:rPr>
        <w:t>In accordance with the procedure in Division</w:t>
      </w:r>
      <w:r w:rsidR="003A7F73">
        <w:rPr>
          <w:szCs w:val="22"/>
        </w:rPr>
        <w:t xml:space="preserve"> 1</w:t>
      </w:r>
      <w:r>
        <w:rPr>
          <w:color w:val="FF0000"/>
          <w:szCs w:val="22"/>
        </w:rPr>
        <w:t xml:space="preserve"> </w:t>
      </w:r>
      <w:r w:rsidRPr="00F634A1">
        <w:rPr>
          <w:szCs w:val="22"/>
        </w:rPr>
        <w:t xml:space="preserve">of Part </w:t>
      </w:r>
      <w:r w:rsidR="003A7F73">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’s consideration of</w:t>
      </w:r>
      <w:r w:rsidR="003A7F73">
        <w:rPr>
          <w:szCs w:val="22"/>
        </w:rPr>
        <w:t xml:space="preserve"> Application A1109 </w:t>
      </w:r>
      <w:r w:rsidRPr="00F634A1">
        <w:rPr>
          <w:szCs w:val="22"/>
        </w:rPr>
        <w:t xml:space="preserve">included </w:t>
      </w:r>
      <w:r w:rsidRPr="003A7F73">
        <w:rPr>
          <w:szCs w:val="22"/>
        </w:rPr>
        <w:t>one round of public consultation following an assessment and the preparation of a draft Standard and associated report</w:t>
      </w:r>
      <w:r w:rsidR="00F6142A">
        <w:rPr>
          <w:szCs w:val="22"/>
        </w:rPr>
        <w:t xml:space="preserve">. </w:t>
      </w:r>
      <w:r w:rsidRPr="003A7F73">
        <w:rPr>
          <w:szCs w:val="22"/>
        </w:rPr>
        <w:t xml:space="preserve">Submissions were called for on </w:t>
      </w:r>
      <w:r w:rsidR="00F6142A">
        <w:rPr>
          <w:szCs w:val="22"/>
        </w:rPr>
        <w:t>18 January 2016</w:t>
      </w:r>
      <w:r w:rsidRPr="003A7F73">
        <w:rPr>
          <w:szCs w:val="22"/>
        </w:rPr>
        <w:t xml:space="preserve"> for a six-week consultation period. </w:t>
      </w:r>
    </w:p>
    <w:p w14:paraId="09F849A2" w14:textId="77777777" w:rsidR="00456BD5" w:rsidRPr="003A7F73" w:rsidRDefault="00456BD5" w:rsidP="00456BD5">
      <w:pPr>
        <w:rPr>
          <w:rFonts w:eastAsia="Calibri"/>
          <w:szCs w:val="22"/>
          <w:lang w:val="en-AU" w:bidi="ar-SA"/>
        </w:rPr>
      </w:pPr>
    </w:p>
    <w:p w14:paraId="152D89AC" w14:textId="136AED57" w:rsidR="00456BD5" w:rsidRPr="003A7F73" w:rsidRDefault="00456BD5" w:rsidP="00456BD5">
      <w:pPr>
        <w:widowControl/>
        <w:autoSpaceDE w:val="0"/>
        <w:autoSpaceDN w:val="0"/>
        <w:adjustRightInd w:val="0"/>
        <w:rPr>
          <w:rFonts w:cs="Arial"/>
          <w:szCs w:val="22"/>
        </w:rPr>
      </w:pPr>
      <w:r w:rsidRPr="003A7F73">
        <w:rPr>
          <w:rFonts w:eastAsia="Calibri" w:cs="Arial"/>
          <w:bCs/>
          <w:szCs w:val="22"/>
          <w:lang w:val="en-AU" w:bidi="ar-SA"/>
        </w:rPr>
        <w:t xml:space="preserve">A Regulation Impact Statement was not required because the proposed variations to </w:t>
      </w:r>
      <w:r w:rsidR="00F6142A">
        <w:rPr>
          <w:rFonts w:eastAsia="Calibri" w:cs="Arial"/>
          <w:bCs/>
          <w:szCs w:val="22"/>
          <w:lang w:val="en-AU" w:bidi="ar-SA"/>
        </w:rPr>
        <w:t>Schedule 18</w:t>
      </w:r>
      <w:r w:rsidRPr="003A7F73">
        <w:rPr>
          <w:rFonts w:eastAsia="Calibri" w:cs="Arial"/>
          <w:bCs/>
          <w:szCs w:val="22"/>
          <w:lang w:val="en-AU" w:bidi="ar-SA"/>
        </w:rPr>
        <w:t xml:space="preserve"> </w:t>
      </w:r>
      <w:r w:rsidRPr="003A7F73">
        <w:t xml:space="preserve">are likely to have a minor impact on business and individuals. </w:t>
      </w:r>
    </w:p>
    <w:p w14:paraId="0F073958" w14:textId="77777777" w:rsidR="00456BD5" w:rsidRDefault="00456BD5" w:rsidP="00456BD5">
      <w:pPr>
        <w:rPr>
          <w:color w:val="FF0000"/>
          <w:lang w:val="en-AU" w:eastAsia="en-GB" w:bidi="ar-SA"/>
        </w:rPr>
      </w:pPr>
    </w:p>
    <w:p w14:paraId="232F9EBE"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74E99438" w14:textId="77777777" w:rsidR="00456BD5" w:rsidRDefault="00456BD5" w:rsidP="00456BD5">
      <w:pPr>
        <w:rPr>
          <w:rFonts w:eastAsiaTheme="minorHAnsi"/>
          <w:lang w:val="en-AU" w:bidi="ar-SA"/>
        </w:rPr>
      </w:pPr>
    </w:p>
    <w:p w14:paraId="3FE82733"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03435F" w14:textId="77777777" w:rsidR="00F6142A" w:rsidRDefault="00F6142A" w:rsidP="00456BD5">
      <w:pPr>
        <w:rPr>
          <w:rFonts w:eastAsiaTheme="minorHAnsi"/>
          <w:lang w:val="en-AU" w:bidi="ar-SA"/>
        </w:rPr>
      </w:pPr>
    </w:p>
    <w:p w14:paraId="7BBCB2A3" w14:textId="77777777" w:rsidR="00023970" w:rsidRDefault="00023970" w:rsidP="00456BD5">
      <w:pPr>
        <w:rPr>
          <w:rFonts w:eastAsiaTheme="minorHAnsi"/>
          <w:lang w:val="en-AU" w:bidi="ar-SA"/>
        </w:rPr>
      </w:pPr>
      <w:r>
        <w:rPr>
          <w:rFonts w:eastAsiaTheme="minorHAnsi"/>
          <w:lang w:val="en-AU" w:bidi="ar-SA"/>
        </w:rPr>
        <w:br w:type="page"/>
      </w:r>
    </w:p>
    <w:p w14:paraId="248F2CA3" w14:textId="77777777"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23B02C94" w14:textId="77777777" w:rsidR="00456BD5" w:rsidRPr="00432A42" w:rsidRDefault="00456BD5" w:rsidP="00456BD5">
      <w:pPr>
        <w:rPr>
          <w:b/>
        </w:rPr>
      </w:pPr>
    </w:p>
    <w:p w14:paraId="155BA781" w14:textId="63A68C5C" w:rsidR="00F6142A" w:rsidRDefault="00F6142A" w:rsidP="00F6142A">
      <w:r w:rsidRPr="0006177A">
        <w:t xml:space="preserve">The variation inserts a new entry into the </w:t>
      </w:r>
      <w:r w:rsidR="00EB0F99">
        <w:t>t</w:t>
      </w:r>
      <w:r w:rsidR="00EB0F99" w:rsidRPr="007A779F">
        <w:t xml:space="preserve">able </w:t>
      </w:r>
      <w:r w:rsidRPr="007A779F">
        <w:t>to subsection S18</w:t>
      </w:r>
      <w:r>
        <w:t>––</w:t>
      </w:r>
      <w:r w:rsidRPr="007A779F">
        <w:t>4(5) in Schedule 18.</w:t>
      </w:r>
      <w:r w:rsidRPr="0006177A">
        <w:t xml:space="preserve"> The new entry </w:t>
      </w:r>
      <w:r>
        <w:t>would</w:t>
      </w:r>
      <w:r w:rsidRPr="0006177A">
        <w:t xml:space="preserve"> permit the use of </w:t>
      </w:r>
      <w:r>
        <w:t>glutaminase</w:t>
      </w:r>
      <w:r w:rsidRPr="0006177A">
        <w:t xml:space="preserve"> (EC</w:t>
      </w:r>
      <w:r>
        <w:t xml:space="preserve"> number</w:t>
      </w:r>
      <w:r w:rsidRPr="0006177A">
        <w:t xml:space="preserve"> 3.5.1.</w:t>
      </w:r>
      <w:r>
        <w:t>2</w:t>
      </w:r>
      <w:r w:rsidRPr="0006177A">
        <w:t>)</w:t>
      </w:r>
      <w:r>
        <w:t xml:space="preserve"> sourced from </w:t>
      </w:r>
      <w:r>
        <w:rPr>
          <w:i/>
        </w:rPr>
        <w:t>B. amyloliquefaciens</w:t>
      </w:r>
      <w:r w:rsidRPr="0006177A">
        <w:t xml:space="preserve"> as a processin</w:t>
      </w:r>
      <w:r>
        <w:t xml:space="preserve">g aid in food. </w:t>
      </w:r>
      <w:bookmarkEnd w:id="134"/>
      <w:bookmarkEnd w:id="135"/>
    </w:p>
    <w:sectPr w:rsidR="00F6142A"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9A5C9" w14:textId="77777777" w:rsidR="007012D1" w:rsidRDefault="007012D1">
      <w:r>
        <w:separator/>
      </w:r>
    </w:p>
    <w:p w14:paraId="3079F938" w14:textId="77777777" w:rsidR="007012D1" w:rsidRDefault="007012D1"/>
  </w:endnote>
  <w:endnote w:type="continuationSeparator" w:id="0">
    <w:p w14:paraId="7CBB6231" w14:textId="77777777" w:rsidR="007012D1" w:rsidRDefault="007012D1">
      <w:r>
        <w:continuationSeparator/>
      </w:r>
    </w:p>
    <w:p w14:paraId="3BB2E677" w14:textId="77777777" w:rsidR="007012D1" w:rsidRDefault="007012D1"/>
  </w:endnote>
  <w:endnote w:type="continuationNotice" w:id="1">
    <w:p w14:paraId="300F8AA8" w14:textId="77777777" w:rsidR="007012D1" w:rsidRDefault="0070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5E601" w14:textId="77777777" w:rsidR="007012D1" w:rsidRDefault="007012D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58B48" w14:textId="77777777" w:rsidR="007012D1" w:rsidRDefault="00701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733F75F7" w14:textId="77777777" w:rsidR="007012D1" w:rsidRDefault="007012D1" w:rsidP="00A671E6">
        <w:pPr>
          <w:pStyle w:val="Footer"/>
          <w:jc w:val="center"/>
        </w:pPr>
        <w:r>
          <w:fldChar w:fldCharType="begin"/>
        </w:r>
        <w:r>
          <w:instrText xml:space="preserve"> PAGE   \* MERGEFORMAT </w:instrText>
        </w:r>
        <w:r>
          <w:fldChar w:fldCharType="separate"/>
        </w:r>
        <w:r w:rsidR="003F3256">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F9099" w14:textId="538FBB9B" w:rsidR="007012D1" w:rsidRDefault="007012D1">
      <w:r>
        <w:separator/>
      </w:r>
    </w:p>
  </w:footnote>
  <w:footnote w:type="continuationSeparator" w:id="0">
    <w:p w14:paraId="059C7F33" w14:textId="77777777" w:rsidR="007012D1" w:rsidRDefault="007012D1">
      <w:r>
        <w:continuationSeparator/>
      </w:r>
    </w:p>
    <w:p w14:paraId="5FC88065" w14:textId="77777777" w:rsidR="007012D1" w:rsidRDefault="007012D1"/>
  </w:footnote>
  <w:footnote w:type="continuationNotice" w:id="1">
    <w:p w14:paraId="718ADCE0" w14:textId="77777777" w:rsidR="007012D1" w:rsidRDefault="007012D1"/>
  </w:footnote>
  <w:footnote w:id="2">
    <w:p w14:paraId="5F2F93B1" w14:textId="2306FC17" w:rsidR="007012D1" w:rsidRPr="00DB0789" w:rsidRDefault="007012D1">
      <w:pPr>
        <w:pStyle w:val="FootnoteText"/>
        <w:rPr>
          <w:lang w:val="en-AU"/>
        </w:rPr>
      </w:pPr>
      <w:r w:rsidRPr="007012D1">
        <w:rPr>
          <w:rStyle w:val="FootnoteReference"/>
          <w:sz w:val="18"/>
        </w:rPr>
        <w:footnoteRef/>
      </w:r>
      <w:r w:rsidRPr="007012D1">
        <w:rPr>
          <w:sz w:val="18"/>
        </w:rPr>
        <w:t xml:space="preserve"> Hydrolysed vegetable protein is a savoury ingredient. It is produced by treating a protein obtained from a plant source with an acid (in a chemical process known as acid hydrolysis), to break the protein down into its component parts (amino acids), including glutamate.</w:t>
      </w:r>
    </w:p>
  </w:footnote>
  <w:footnote w:id="3">
    <w:p w14:paraId="77E25B2C" w14:textId="6F0D6125" w:rsidR="007012D1" w:rsidRPr="00C91482" w:rsidRDefault="007012D1" w:rsidP="00FC5900">
      <w:pPr>
        <w:pStyle w:val="FootnoteText"/>
        <w:rPr>
          <w:lang w:val="en-AU"/>
        </w:rPr>
      </w:pPr>
      <w:r w:rsidRPr="007012D1">
        <w:rPr>
          <w:rStyle w:val="FootnoteReference"/>
          <w:sz w:val="18"/>
        </w:rPr>
        <w:footnoteRef/>
      </w:r>
      <w:r w:rsidRPr="007012D1">
        <w:rPr>
          <w:sz w:val="18"/>
        </w:rPr>
        <w:t xml:space="preserve"> In the context of this Report, this is t</w:t>
      </w:r>
      <w:r w:rsidRPr="007012D1">
        <w:rPr>
          <w:sz w:val="18"/>
          <w:lang w:val="en-AU"/>
        </w:rPr>
        <w:t>he analysis of biological data (in this case data on molecular genetics) using computers, to determine whether there are any biologically significant similarities with known protein allergens, as one means of assessing the safety of the enzyme.</w:t>
      </w:r>
    </w:p>
  </w:footnote>
  <w:footnote w:id="4">
    <w:p w14:paraId="159CC141" w14:textId="77777777" w:rsidR="007012D1" w:rsidRPr="006115C5" w:rsidRDefault="007012D1" w:rsidP="002E36B8">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3A62D" w14:textId="3FD5FE03" w:rsidR="007012D1" w:rsidRPr="00616017" w:rsidRDefault="007012D1" w:rsidP="00616017">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383D7" w14:textId="77777777" w:rsidR="007012D1" w:rsidRDefault="007012D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A23F91"/>
    <w:multiLevelType w:val="hybridMultilevel"/>
    <w:tmpl w:val="9DA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DF9048B"/>
    <w:multiLevelType w:val="hybridMultilevel"/>
    <w:tmpl w:val="DF9C109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5">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9"/>
  </w:num>
  <w:num w:numId="14">
    <w:abstractNumId w:val="26"/>
  </w:num>
  <w:num w:numId="15">
    <w:abstractNumId w:val="38"/>
  </w:num>
  <w:num w:numId="16">
    <w:abstractNumId w:val="11"/>
  </w:num>
  <w:num w:numId="17">
    <w:abstractNumId w:val="3"/>
  </w:num>
  <w:num w:numId="18">
    <w:abstractNumId w:val="0"/>
  </w:num>
  <w:num w:numId="19">
    <w:abstractNumId w:val="29"/>
  </w:num>
  <w:num w:numId="20">
    <w:abstractNumId w:val="8"/>
  </w:num>
  <w:num w:numId="21">
    <w:abstractNumId w:val="43"/>
  </w:num>
  <w:num w:numId="22">
    <w:abstractNumId w:val="37"/>
  </w:num>
  <w:num w:numId="23">
    <w:abstractNumId w:val="13"/>
  </w:num>
  <w:num w:numId="24">
    <w:abstractNumId w:val="15"/>
  </w:num>
  <w:num w:numId="25">
    <w:abstractNumId w:val="36"/>
  </w:num>
  <w:num w:numId="26">
    <w:abstractNumId w:val="36"/>
  </w:num>
  <w:num w:numId="27">
    <w:abstractNumId w:val="25"/>
  </w:num>
  <w:num w:numId="28">
    <w:abstractNumId w:val="30"/>
  </w:num>
  <w:num w:numId="29">
    <w:abstractNumId w:val="31"/>
  </w:num>
  <w:num w:numId="30">
    <w:abstractNumId w:val="20"/>
  </w:num>
  <w:num w:numId="31">
    <w:abstractNumId w:val="17"/>
  </w:num>
  <w:num w:numId="32">
    <w:abstractNumId w:val="2"/>
  </w:num>
  <w:num w:numId="33">
    <w:abstractNumId w:val="9"/>
  </w:num>
  <w:num w:numId="34">
    <w:abstractNumId w:val="4"/>
  </w:num>
  <w:num w:numId="35">
    <w:abstractNumId w:val="27"/>
  </w:num>
  <w:num w:numId="36">
    <w:abstractNumId w:val="24"/>
  </w:num>
  <w:num w:numId="37">
    <w:abstractNumId w:val="7"/>
  </w:num>
  <w:num w:numId="38">
    <w:abstractNumId w:val="41"/>
  </w:num>
  <w:num w:numId="39">
    <w:abstractNumId w:val="19"/>
  </w:num>
  <w:num w:numId="40">
    <w:abstractNumId w:val="32"/>
  </w:num>
  <w:num w:numId="41">
    <w:abstractNumId w:val="12"/>
  </w:num>
  <w:num w:numId="42">
    <w:abstractNumId w:val="35"/>
  </w:num>
  <w:num w:numId="43">
    <w:abstractNumId w:val="16"/>
  </w:num>
  <w:num w:numId="44">
    <w:abstractNumId w:val="23"/>
  </w:num>
  <w:num w:numId="45">
    <w:abstractNumId w:val="21"/>
  </w:num>
  <w:num w:numId="46">
    <w:abstractNumId w:val="10"/>
  </w:num>
  <w:num w:numId="47">
    <w:abstractNumId w:val="22"/>
  </w:num>
  <w:num w:numId="48">
    <w:abstractNumId w:val="33"/>
  </w:num>
  <w:num w:numId="49">
    <w:abstractNumId w:val="1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208"/>
    <w:rsid w:val="0000247B"/>
    <w:rsid w:val="0000469B"/>
    <w:rsid w:val="00005DB4"/>
    <w:rsid w:val="00010E79"/>
    <w:rsid w:val="00011187"/>
    <w:rsid w:val="00014E34"/>
    <w:rsid w:val="00023970"/>
    <w:rsid w:val="000332AE"/>
    <w:rsid w:val="00035FF3"/>
    <w:rsid w:val="000418F0"/>
    <w:rsid w:val="0004579B"/>
    <w:rsid w:val="00051021"/>
    <w:rsid w:val="000524F0"/>
    <w:rsid w:val="00052D54"/>
    <w:rsid w:val="0005678D"/>
    <w:rsid w:val="000576EB"/>
    <w:rsid w:val="000618E0"/>
    <w:rsid w:val="0006394C"/>
    <w:rsid w:val="00064B2D"/>
    <w:rsid w:val="00065F1F"/>
    <w:rsid w:val="00076D33"/>
    <w:rsid w:val="00076D3B"/>
    <w:rsid w:val="00077859"/>
    <w:rsid w:val="00077AEA"/>
    <w:rsid w:val="00081B0A"/>
    <w:rsid w:val="00084482"/>
    <w:rsid w:val="000A0E8D"/>
    <w:rsid w:val="000A3D8B"/>
    <w:rsid w:val="000B427A"/>
    <w:rsid w:val="000B6AF2"/>
    <w:rsid w:val="000D6E01"/>
    <w:rsid w:val="000D6FD4"/>
    <w:rsid w:val="000D7B1C"/>
    <w:rsid w:val="000E0AE4"/>
    <w:rsid w:val="000E1EA4"/>
    <w:rsid w:val="000E3DBC"/>
    <w:rsid w:val="000E662F"/>
    <w:rsid w:val="000E7418"/>
    <w:rsid w:val="000F3CFE"/>
    <w:rsid w:val="000F6568"/>
    <w:rsid w:val="00102819"/>
    <w:rsid w:val="001042CF"/>
    <w:rsid w:val="00104544"/>
    <w:rsid w:val="0010778D"/>
    <w:rsid w:val="00107F64"/>
    <w:rsid w:val="001122EC"/>
    <w:rsid w:val="0012388D"/>
    <w:rsid w:val="00136B57"/>
    <w:rsid w:val="00150B54"/>
    <w:rsid w:val="0015187A"/>
    <w:rsid w:val="001546B9"/>
    <w:rsid w:val="00182C4C"/>
    <w:rsid w:val="001878C5"/>
    <w:rsid w:val="00192806"/>
    <w:rsid w:val="0019399D"/>
    <w:rsid w:val="00197D8D"/>
    <w:rsid w:val="001A1A75"/>
    <w:rsid w:val="001A7E9A"/>
    <w:rsid w:val="001C27A3"/>
    <w:rsid w:val="001D43F6"/>
    <w:rsid w:val="001E09FA"/>
    <w:rsid w:val="001F78BA"/>
    <w:rsid w:val="00202A6F"/>
    <w:rsid w:val="00206213"/>
    <w:rsid w:val="0022197C"/>
    <w:rsid w:val="00221D07"/>
    <w:rsid w:val="00224E3B"/>
    <w:rsid w:val="00227E4A"/>
    <w:rsid w:val="002421C1"/>
    <w:rsid w:val="00250197"/>
    <w:rsid w:val="002719A8"/>
    <w:rsid w:val="002758A0"/>
    <w:rsid w:val="0029204E"/>
    <w:rsid w:val="00292B9B"/>
    <w:rsid w:val="00295508"/>
    <w:rsid w:val="002A0194"/>
    <w:rsid w:val="002A3D41"/>
    <w:rsid w:val="002A5F8B"/>
    <w:rsid w:val="002A76DB"/>
    <w:rsid w:val="002A7F6C"/>
    <w:rsid w:val="002B0071"/>
    <w:rsid w:val="002B6AD9"/>
    <w:rsid w:val="002B6C4F"/>
    <w:rsid w:val="002C1A3B"/>
    <w:rsid w:val="002D4561"/>
    <w:rsid w:val="002E16D5"/>
    <w:rsid w:val="002E1820"/>
    <w:rsid w:val="002E36B8"/>
    <w:rsid w:val="002E3708"/>
    <w:rsid w:val="002F35EA"/>
    <w:rsid w:val="002F4648"/>
    <w:rsid w:val="002F6488"/>
    <w:rsid w:val="00305C54"/>
    <w:rsid w:val="003067BD"/>
    <w:rsid w:val="0031016C"/>
    <w:rsid w:val="00313294"/>
    <w:rsid w:val="0031426B"/>
    <w:rsid w:val="003213F9"/>
    <w:rsid w:val="00323AB6"/>
    <w:rsid w:val="00323DBF"/>
    <w:rsid w:val="00327867"/>
    <w:rsid w:val="00332B12"/>
    <w:rsid w:val="00335920"/>
    <w:rsid w:val="00337CBC"/>
    <w:rsid w:val="003428FC"/>
    <w:rsid w:val="00346622"/>
    <w:rsid w:val="00347FE3"/>
    <w:rsid w:val="003507DB"/>
    <w:rsid w:val="00351B07"/>
    <w:rsid w:val="0036533D"/>
    <w:rsid w:val="00371B29"/>
    <w:rsid w:val="003766F8"/>
    <w:rsid w:val="00377B75"/>
    <w:rsid w:val="00380106"/>
    <w:rsid w:val="003814F0"/>
    <w:rsid w:val="00381E07"/>
    <w:rsid w:val="00382207"/>
    <w:rsid w:val="00385788"/>
    <w:rsid w:val="00391769"/>
    <w:rsid w:val="00392149"/>
    <w:rsid w:val="003953E1"/>
    <w:rsid w:val="003956B3"/>
    <w:rsid w:val="003A0A4D"/>
    <w:rsid w:val="003A0EBF"/>
    <w:rsid w:val="003A3D30"/>
    <w:rsid w:val="003A68BE"/>
    <w:rsid w:val="003A7B84"/>
    <w:rsid w:val="003A7F73"/>
    <w:rsid w:val="003B75BA"/>
    <w:rsid w:val="003C4969"/>
    <w:rsid w:val="003D2CDC"/>
    <w:rsid w:val="003E41D5"/>
    <w:rsid w:val="003E46BA"/>
    <w:rsid w:val="003F3256"/>
    <w:rsid w:val="003F74C1"/>
    <w:rsid w:val="00400C6F"/>
    <w:rsid w:val="00401ADE"/>
    <w:rsid w:val="00405B1A"/>
    <w:rsid w:val="00410C76"/>
    <w:rsid w:val="00411907"/>
    <w:rsid w:val="00416D2A"/>
    <w:rsid w:val="00417EE3"/>
    <w:rsid w:val="004207EB"/>
    <w:rsid w:val="00421730"/>
    <w:rsid w:val="00422EC9"/>
    <w:rsid w:val="00423AC7"/>
    <w:rsid w:val="00432A42"/>
    <w:rsid w:val="00437276"/>
    <w:rsid w:val="00453646"/>
    <w:rsid w:val="00456B54"/>
    <w:rsid w:val="00456BD5"/>
    <w:rsid w:val="00464643"/>
    <w:rsid w:val="004711D1"/>
    <w:rsid w:val="00471309"/>
    <w:rsid w:val="00476AC4"/>
    <w:rsid w:val="00486793"/>
    <w:rsid w:val="00486C66"/>
    <w:rsid w:val="00492E8C"/>
    <w:rsid w:val="00494A3F"/>
    <w:rsid w:val="00495F53"/>
    <w:rsid w:val="004A2037"/>
    <w:rsid w:val="004A793C"/>
    <w:rsid w:val="004B047B"/>
    <w:rsid w:val="004B154F"/>
    <w:rsid w:val="004B4CDC"/>
    <w:rsid w:val="004C327D"/>
    <w:rsid w:val="004D121E"/>
    <w:rsid w:val="004D1B1C"/>
    <w:rsid w:val="004F4F98"/>
    <w:rsid w:val="004F69F6"/>
    <w:rsid w:val="004F79AC"/>
    <w:rsid w:val="00506E9B"/>
    <w:rsid w:val="0050737A"/>
    <w:rsid w:val="0051218F"/>
    <w:rsid w:val="005207D8"/>
    <w:rsid w:val="00523930"/>
    <w:rsid w:val="005244F1"/>
    <w:rsid w:val="00536ACA"/>
    <w:rsid w:val="00537CDC"/>
    <w:rsid w:val="00560185"/>
    <w:rsid w:val="00562917"/>
    <w:rsid w:val="00571B8C"/>
    <w:rsid w:val="00580DDF"/>
    <w:rsid w:val="005811B7"/>
    <w:rsid w:val="00582FE5"/>
    <w:rsid w:val="00586228"/>
    <w:rsid w:val="005946D3"/>
    <w:rsid w:val="00597631"/>
    <w:rsid w:val="005A572E"/>
    <w:rsid w:val="005B084E"/>
    <w:rsid w:val="005B6AF4"/>
    <w:rsid w:val="005C04CB"/>
    <w:rsid w:val="005C0995"/>
    <w:rsid w:val="005C4D82"/>
    <w:rsid w:val="005D16AD"/>
    <w:rsid w:val="005D2016"/>
    <w:rsid w:val="005D72E1"/>
    <w:rsid w:val="005E06C0"/>
    <w:rsid w:val="005E196C"/>
    <w:rsid w:val="005E58D3"/>
    <w:rsid w:val="005E6E16"/>
    <w:rsid w:val="005E7185"/>
    <w:rsid w:val="005F1059"/>
    <w:rsid w:val="005F400E"/>
    <w:rsid w:val="005F7342"/>
    <w:rsid w:val="00605EF0"/>
    <w:rsid w:val="00610A3C"/>
    <w:rsid w:val="006138D7"/>
    <w:rsid w:val="00615E83"/>
    <w:rsid w:val="00616017"/>
    <w:rsid w:val="00627F48"/>
    <w:rsid w:val="0063455F"/>
    <w:rsid w:val="00635814"/>
    <w:rsid w:val="00650464"/>
    <w:rsid w:val="00663FCF"/>
    <w:rsid w:val="006652A2"/>
    <w:rsid w:val="00667ADD"/>
    <w:rsid w:val="00683071"/>
    <w:rsid w:val="00685502"/>
    <w:rsid w:val="00685ED6"/>
    <w:rsid w:val="00692490"/>
    <w:rsid w:val="006969CC"/>
    <w:rsid w:val="00696A15"/>
    <w:rsid w:val="006A48A7"/>
    <w:rsid w:val="006A5D40"/>
    <w:rsid w:val="006C22A7"/>
    <w:rsid w:val="006C5A1E"/>
    <w:rsid w:val="006C5CF5"/>
    <w:rsid w:val="006D33FF"/>
    <w:rsid w:val="006E10A1"/>
    <w:rsid w:val="006F4A82"/>
    <w:rsid w:val="007012D1"/>
    <w:rsid w:val="00701D74"/>
    <w:rsid w:val="00710C37"/>
    <w:rsid w:val="00724FA4"/>
    <w:rsid w:val="00730800"/>
    <w:rsid w:val="0074393E"/>
    <w:rsid w:val="00755C2C"/>
    <w:rsid w:val="00755F02"/>
    <w:rsid w:val="007602AA"/>
    <w:rsid w:val="00764190"/>
    <w:rsid w:val="007652EF"/>
    <w:rsid w:val="00765DE1"/>
    <w:rsid w:val="00772BDC"/>
    <w:rsid w:val="00777437"/>
    <w:rsid w:val="00780792"/>
    <w:rsid w:val="0078309E"/>
    <w:rsid w:val="00786BB7"/>
    <w:rsid w:val="00795D86"/>
    <w:rsid w:val="007A44B4"/>
    <w:rsid w:val="007A53BF"/>
    <w:rsid w:val="007A7D3D"/>
    <w:rsid w:val="007B225D"/>
    <w:rsid w:val="007B37B3"/>
    <w:rsid w:val="007C1C64"/>
    <w:rsid w:val="007C22CB"/>
    <w:rsid w:val="007D0189"/>
    <w:rsid w:val="007D1B5C"/>
    <w:rsid w:val="007D3D96"/>
    <w:rsid w:val="007E48BC"/>
    <w:rsid w:val="007E79F7"/>
    <w:rsid w:val="007F3630"/>
    <w:rsid w:val="007F7BF7"/>
    <w:rsid w:val="00807559"/>
    <w:rsid w:val="00813464"/>
    <w:rsid w:val="00831154"/>
    <w:rsid w:val="008450BC"/>
    <w:rsid w:val="00847066"/>
    <w:rsid w:val="00850B09"/>
    <w:rsid w:val="00850C14"/>
    <w:rsid w:val="00852BC2"/>
    <w:rsid w:val="0085334B"/>
    <w:rsid w:val="008537BA"/>
    <w:rsid w:val="00856712"/>
    <w:rsid w:val="00860808"/>
    <w:rsid w:val="00861C13"/>
    <w:rsid w:val="00862349"/>
    <w:rsid w:val="0086571E"/>
    <w:rsid w:val="00870214"/>
    <w:rsid w:val="00871116"/>
    <w:rsid w:val="00885C51"/>
    <w:rsid w:val="00896B85"/>
    <w:rsid w:val="008A17A9"/>
    <w:rsid w:val="008A243D"/>
    <w:rsid w:val="008C4E76"/>
    <w:rsid w:val="008D06C6"/>
    <w:rsid w:val="008D5E9D"/>
    <w:rsid w:val="008E6250"/>
    <w:rsid w:val="008F0F06"/>
    <w:rsid w:val="009001AF"/>
    <w:rsid w:val="00917C6F"/>
    <w:rsid w:val="00920249"/>
    <w:rsid w:val="00932F14"/>
    <w:rsid w:val="00937DDB"/>
    <w:rsid w:val="009406FF"/>
    <w:rsid w:val="0094247F"/>
    <w:rsid w:val="00942D60"/>
    <w:rsid w:val="009460FA"/>
    <w:rsid w:val="00947534"/>
    <w:rsid w:val="009478A1"/>
    <w:rsid w:val="009547CF"/>
    <w:rsid w:val="0096523B"/>
    <w:rsid w:val="00970258"/>
    <w:rsid w:val="00972D06"/>
    <w:rsid w:val="009905FE"/>
    <w:rsid w:val="00990A96"/>
    <w:rsid w:val="009925AB"/>
    <w:rsid w:val="0099323D"/>
    <w:rsid w:val="0099623A"/>
    <w:rsid w:val="009A2699"/>
    <w:rsid w:val="009A2DC9"/>
    <w:rsid w:val="009A3051"/>
    <w:rsid w:val="009A391C"/>
    <w:rsid w:val="009C58CB"/>
    <w:rsid w:val="009E0A61"/>
    <w:rsid w:val="009E3010"/>
    <w:rsid w:val="009E46F5"/>
    <w:rsid w:val="009F0721"/>
    <w:rsid w:val="009F7065"/>
    <w:rsid w:val="00A06FBF"/>
    <w:rsid w:val="00A168A0"/>
    <w:rsid w:val="00A2449C"/>
    <w:rsid w:val="00A318EB"/>
    <w:rsid w:val="00A43A07"/>
    <w:rsid w:val="00A4751C"/>
    <w:rsid w:val="00A50918"/>
    <w:rsid w:val="00A51B1E"/>
    <w:rsid w:val="00A551B9"/>
    <w:rsid w:val="00A56DC7"/>
    <w:rsid w:val="00A66FDD"/>
    <w:rsid w:val="00A671E6"/>
    <w:rsid w:val="00A709E5"/>
    <w:rsid w:val="00A74FD1"/>
    <w:rsid w:val="00A84A58"/>
    <w:rsid w:val="00A877EF"/>
    <w:rsid w:val="00A929A9"/>
    <w:rsid w:val="00A957BC"/>
    <w:rsid w:val="00A96594"/>
    <w:rsid w:val="00AA41BA"/>
    <w:rsid w:val="00AA6D0D"/>
    <w:rsid w:val="00AA6FA3"/>
    <w:rsid w:val="00AC2720"/>
    <w:rsid w:val="00AC428E"/>
    <w:rsid w:val="00AD2764"/>
    <w:rsid w:val="00AD344F"/>
    <w:rsid w:val="00AE4FFD"/>
    <w:rsid w:val="00AF24FA"/>
    <w:rsid w:val="00AF387F"/>
    <w:rsid w:val="00AF397D"/>
    <w:rsid w:val="00AF4E60"/>
    <w:rsid w:val="00B00E7F"/>
    <w:rsid w:val="00B0197F"/>
    <w:rsid w:val="00B14393"/>
    <w:rsid w:val="00B17112"/>
    <w:rsid w:val="00B21055"/>
    <w:rsid w:val="00B21DCC"/>
    <w:rsid w:val="00B25F37"/>
    <w:rsid w:val="00B273E0"/>
    <w:rsid w:val="00B3495C"/>
    <w:rsid w:val="00B37158"/>
    <w:rsid w:val="00B425AA"/>
    <w:rsid w:val="00B44422"/>
    <w:rsid w:val="00B46EA0"/>
    <w:rsid w:val="00B55714"/>
    <w:rsid w:val="00B57989"/>
    <w:rsid w:val="00B60618"/>
    <w:rsid w:val="00B63BBA"/>
    <w:rsid w:val="00B67632"/>
    <w:rsid w:val="00B731D3"/>
    <w:rsid w:val="00B75B57"/>
    <w:rsid w:val="00B76F95"/>
    <w:rsid w:val="00B77C18"/>
    <w:rsid w:val="00B800C6"/>
    <w:rsid w:val="00B811B3"/>
    <w:rsid w:val="00B839A3"/>
    <w:rsid w:val="00B902BD"/>
    <w:rsid w:val="00B92501"/>
    <w:rsid w:val="00BA1009"/>
    <w:rsid w:val="00BB0EC9"/>
    <w:rsid w:val="00BB2158"/>
    <w:rsid w:val="00BC3725"/>
    <w:rsid w:val="00BD2A39"/>
    <w:rsid w:val="00BD2E80"/>
    <w:rsid w:val="00BD49FF"/>
    <w:rsid w:val="00BD4B64"/>
    <w:rsid w:val="00BD77E1"/>
    <w:rsid w:val="00BE11B8"/>
    <w:rsid w:val="00BE78F5"/>
    <w:rsid w:val="00BF7FF0"/>
    <w:rsid w:val="00C11AEA"/>
    <w:rsid w:val="00C12502"/>
    <w:rsid w:val="00C26B3B"/>
    <w:rsid w:val="00C305B7"/>
    <w:rsid w:val="00C4015A"/>
    <w:rsid w:val="00C40AA5"/>
    <w:rsid w:val="00C40AA8"/>
    <w:rsid w:val="00C43987"/>
    <w:rsid w:val="00C46F70"/>
    <w:rsid w:val="00C476D0"/>
    <w:rsid w:val="00C627A8"/>
    <w:rsid w:val="00C63847"/>
    <w:rsid w:val="00C6434A"/>
    <w:rsid w:val="00C64555"/>
    <w:rsid w:val="00C70B29"/>
    <w:rsid w:val="00C74398"/>
    <w:rsid w:val="00C830B9"/>
    <w:rsid w:val="00C836E3"/>
    <w:rsid w:val="00C836FF"/>
    <w:rsid w:val="00C854DC"/>
    <w:rsid w:val="00C86577"/>
    <w:rsid w:val="00C912A7"/>
    <w:rsid w:val="00C91482"/>
    <w:rsid w:val="00C91C02"/>
    <w:rsid w:val="00C92E07"/>
    <w:rsid w:val="00C96868"/>
    <w:rsid w:val="00CA0416"/>
    <w:rsid w:val="00CA2865"/>
    <w:rsid w:val="00CA5734"/>
    <w:rsid w:val="00CB115C"/>
    <w:rsid w:val="00CC3764"/>
    <w:rsid w:val="00CC3A35"/>
    <w:rsid w:val="00CC5468"/>
    <w:rsid w:val="00CC560B"/>
    <w:rsid w:val="00CC75E2"/>
    <w:rsid w:val="00CC7D56"/>
    <w:rsid w:val="00CD46EB"/>
    <w:rsid w:val="00CD7EBF"/>
    <w:rsid w:val="00CE59AA"/>
    <w:rsid w:val="00CF0E86"/>
    <w:rsid w:val="00CF7147"/>
    <w:rsid w:val="00D00DFA"/>
    <w:rsid w:val="00D056F1"/>
    <w:rsid w:val="00D06616"/>
    <w:rsid w:val="00D10205"/>
    <w:rsid w:val="00D144D7"/>
    <w:rsid w:val="00D15A08"/>
    <w:rsid w:val="00D17617"/>
    <w:rsid w:val="00D23DB6"/>
    <w:rsid w:val="00D41987"/>
    <w:rsid w:val="00D51A95"/>
    <w:rsid w:val="00D60568"/>
    <w:rsid w:val="00D70C7A"/>
    <w:rsid w:val="00D72A29"/>
    <w:rsid w:val="00D834E5"/>
    <w:rsid w:val="00D9452F"/>
    <w:rsid w:val="00D96C9C"/>
    <w:rsid w:val="00DA10A8"/>
    <w:rsid w:val="00DB0789"/>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153BC"/>
    <w:rsid w:val="00E2003B"/>
    <w:rsid w:val="00E22EA5"/>
    <w:rsid w:val="00E26887"/>
    <w:rsid w:val="00E279D8"/>
    <w:rsid w:val="00E30092"/>
    <w:rsid w:val="00E319B1"/>
    <w:rsid w:val="00E327A6"/>
    <w:rsid w:val="00E3684F"/>
    <w:rsid w:val="00E375BE"/>
    <w:rsid w:val="00E47D3B"/>
    <w:rsid w:val="00E53604"/>
    <w:rsid w:val="00E5492F"/>
    <w:rsid w:val="00E572B1"/>
    <w:rsid w:val="00E6369A"/>
    <w:rsid w:val="00E70393"/>
    <w:rsid w:val="00E70A86"/>
    <w:rsid w:val="00E73E50"/>
    <w:rsid w:val="00E777EC"/>
    <w:rsid w:val="00E80FCD"/>
    <w:rsid w:val="00E94938"/>
    <w:rsid w:val="00EA2226"/>
    <w:rsid w:val="00EA7DB0"/>
    <w:rsid w:val="00EA7F2F"/>
    <w:rsid w:val="00EB0F99"/>
    <w:rsid w:val="00EB47D2"/>
    <w:rsid w:val="00EB576F"/>
    <w:rsid w:val="00EB6590"/>
    <w:rsid w:val="00EC00DE"/>
    <w:rsid w:val="00EC21DF"/>
    <w:rsid w:val="00EC30E1"/>
    <w:rsid w:val="00EC3436"/>
    <w:rsid w:val="00EC66BB"/>
    <w:rsid w:val="00ED172A"/>
    <w:rsid w:val="00ED257F"/>
    <w:rsid w:val="00ED3BF4"/>
    <w:rsid w:val="00ED4DD6"/>
    <w:rsid w:val="00ED713A"/>
    <w:rsid w:val="00EE01DC"/>
    <w:rsid w:val="00EF0BF3"/>
    <w:rsid w:val="00F00C58"/>
    <w:rsid w:val="00F13DA5"/>
    <w:rsid w:val="00F14AB3"/>
    <w:rsid w:val="00F14BEC"/>
    <w:rsid w:val="00F224B7"/>
    <w:rsid w:val="00F225C5"/>
    <w:rsid w:val="00F2587A"/>
    <w:rsid w:val="00F33470"/>
    <w:rsid w:val="00F34911"/>
    <w:rsid w:val="00F34E02"/>
    <w:rsid w:val="00F3715D"/>
    <w:rsid w:val="00F37A10"/>
    <w:rsid w:val="00F41F0D"/>
    <w:rsid w:val="00F420C8"/>
    <w:rsid w:val="00F42A4C"/>
    <w:rsid w:val="00F526BD"/>
    <w:rsid w:val="00F6142A"/>
    <w:rsid w:val="00F634A1"/>
    <w:rsid w:val="00F637A8"/>
    <w:rsid w:val="00FA65C4"/>
    <w:rsid w:val="00FB7512"/>
    <w:rsid w:val="00FC5900"/>
    <w:rsid w:val="00FD7547"/>
    <w:rsid w:val="00FE1A81"/>
    <w:rsid w:val="00FE287B"/>
    <w:rsid w:val="00FE6B50"/>
    <w:rsid w:val="00FF0D29"/>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FSBullet">
    <w:name w:val="FS Bullet"/>
    <w:basedOn w:val="Normal"/>
    <w:next w:val="Normal"/>
    <w:link w:val="FSBulletChar"/>
    <w:qFormat/>
    <w:rsid w:val="008A17A9"/>
    <w:pPr>
      <w:ind w:left="567" w:hanging="567"/>
    </w:pPr>
    <w:rPr>
      <w:rFonts w:cs="Arial"/>
    </w:rPr>
  </w:style>
  <w:style w:type="character" w:customStyle="1" w:styleId="FSBulletChar">
    <w:name w:val="FS Bullet Char"/>
    <w:basedOn w:val="DefaultParagraphFont"/>
    <w:link w:val="FSBullet"/>
    <w:rsid w:val="008A17A9"/>
    <w:rPr>
      <w:rFonts w:ascii="Arial" w:hAnsi="Arial" w:cs="Arial"/>
      <w:sz w:val="22"/>
      <w:szCs w:val="24"/>
      <w:lang w:eastAsia="en-US" w:bidi="en-US"/>
    </w:rPr>
  </w:style>
  <w:style w:type="paragraph" w:customStyle="1" w:styleId="HR">
    <w:name w:val="HR"/>
    <w:aliases w:val="Regulation Heading"/>
    <w:basedOn w:val="Normal"/>
    <w:next w:val="Normal"/>
    <w:rsid w:val="00F00C58"/>
    <w:pPr>
      <w:keepNext/>
      <w:keepLines/>
      <w:widowControl/>
      <w:spacing w:before="360"/>
      <w:ind w:left="964" w:hanging="964"/>
    </w:pPr>
    <w:rPr>
      <w:b/>
      <w:sz w:val="24"/>
      <w:lang w:val="en-AU" w:eastAsia="en-AU" w:bidi="ar-SA"/>
    </w:rPr>
  </w:style>
  <w:style w:type="paragraph" w:styleId="CommentSubject">
    <w:name w:val="annotation subject"/>
    <w:basedOn w:val="CommentText"/>
    <w:next w:val="CommentText"/>
    <w:link w:val="CommentSubjectChar"/>
    <w:rsid w:val="009C58CB"/>
    <w:rPr>
      <w:b/>
      <w:bCs/>
    </w:rPr>
  </w:style>
  <w:style w:type="character" w:customStyle="1" w:styleId="CommentSubjectChar">
    <w:name w:val="Comment Subject Char"/>
    <w:basedOn w:val="CommentTextChar"/>
    <w:link w:val="CommentSubject"/>
    <w:rsid w:val="009C58CB"/>
    <w:rPr>
      <w:rFonts w:ascii="Arial" w:hAnsi="Arial"/>
      <w:b/>
      <w:bCs/>
      <w:lang w:eastAsia="en-US" w:bidi="en-US"/>
    </w:rPr>
  </w:style>
  <w:style w:type="paragraph" w:styleId="ListParagraph">
    <w:name w:val="List Paragraph"/>
    <w:basedOn w:val="Normal"/>
    <w:uiPriority w:val="34"/>
    <w:rsid w:val="00FC5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FSBullet">
    <w:name w:val="FS Bullet"/>
    <w:basedOn w:val="Normal"/>
    <w:next w:val="Normal"/>
    <w:link w:val="FSBulletChar"/>
    <w:qFormat/>
    <w:rsid w:val="008A17A9"/>
    <w:pPr>
      <w:ind w:left="567" w:hanging="567"/>
    </w:pPr>
    <w:rPr>
      <w:rFonts w:cs="Arial"/>
    </w:rPr>
  </w:style>
  <w:style w:type="character" w:customStyle="1" w:styleId="FSBulletChar">
    <w:name w:val="FS Bullet Char"/>
    <w:basedOn w:val="DefaultParagraphFont"/>
    <w:link w:val="FSBullet"/>
    <w:rsid w:val="008A17A9"/>
    <w:rPr>
      <w:rFonts w:ascii="Arial" w:hAnsi="Arial" w:cs="Arial"/>
      <w:sz w:val="22"/>
      <w:szCs w:val="24"/>
      <w:lang w:eastAsia="en-US" w:bidi="en-US"/>
    </w:rPr>
  </w:style>
  <w:style w:type="paragraph" w:customStyle="1" w:styleId="HR">
    <w:name w:val="HR"/>
    <w:aliases w:val="Regulation Heading"/>
    <w:basedOn w:val="Normal"/>
    <w:next w:val="Normal"/>
    <w:rsid w:val="00F00C58"/>
    <w:pPr>
      <w:keepNext/>
      <w:keepLines/>
      <w:widowControl/>
      <w:spacing w:before="360"/>
      <w:ind w:left="964" w:hanging="964"/>
    </w:pPr>
    <w:rPr>
      <w:b/>
      <w:sz w:val="24"/>
      <w:lang w:val="en-AU" w:eastAsia="en-AU" w:bidi="ar-SA"/>
    </w:rPr>
  </w:style>
  <w:style w:type="paragraph" w:styleId="CommentSubject">
    <w:name w:val="annotation subject"/>
    <w:basedOn w:val="CommentText"/>
    <w:next w:val="CommentText"/>
    <w:link w:val="CommentSubjectChar"/>
    <w:rsid w:val="009C58CB"/>
    <w:rPr>
      <w:b/>
      <w:bCs/>
    </w:rPr>
  </w:style>
  <w:style w:type="character" w:customStyle="1" w:styleId="CommentSubjectChar">
    <w:name w:val="Comment Subject Char"/>
    <w:basedOn w:val="CommentTextChar"/>
    <w:link w:val="CommentSubject"/>
    <w:rsid w:val="009C58CB"/>
    <w:rPr>
      <w:rFonts w:ascii="Arial" w:hAnsi="Arial"/>
      <w:b/>
      <w:bCs/>
      <w:lang w:eastAsia="en-US" w:bidi="en-US"/>
    </w:rPr>
  </w:style>
  <w:style w:type="paragraph" w:styleId="ListParagraph">
    <w:name w:val="List Paragraph"/>
    <w:basedOn w:val="Normal"/>
    <w:uiPriority w:val="34"/>
    <w:rsid w:val="00FC5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sp.org/food-ingredients/food-chemicals-code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nses.fr/sites/default/files/documents/BIOT2009sa0089.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yperlink" Target="http://www.fao.org/docrep/009/a0691e/A0691E03.htm" TargetMode="Externa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www.foodstandards.gov.au/code/applications/Pages/A1109Glutaminase.aspx" TargetMode="External"/><Relationship Id="rId22" Type="http://schemas.openxmlformats.org/officeDocument/2006/relationships/hyperlink" Target="http://www.enzyme-database.org/query.php?name=3.5.1.2&amp;search=search_all&amp;display=show_all&amp;order=ec_num&amp;nr=50"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2016-05-19T14:00:00+00:00</PublishingStartDat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B9E7EB67DCF9CE419AAB17DB9FE5BB9C" ma:contentTypeVersion="18" ma:contentTypeDescription="FSANZ Record" ma:contentTypeScope="" ma:versionID="bf0b136f0617ffe3ab7f6dbaf1b334b8">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0375aee16324b978506fb401b0ace52e"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EE374-5E58-46D7-BD25-EF84FFC853FF}"/>
</file>

<file path=customXml/itemProps2.xml><?xml version="1.0" encoding="utf-8"?>
<ds:datastoreItem xmlns:ds="http://schemas.openxmlformats.org/officeDocument/2006/customXml" ds:itemID="{30776D05-622C-46E0-9529-E9B990CC97C4}"/>
</file>

<file path=customXml/itemProps3.xml><?xml version="1.0" encoding="utf-8"?>
<ds:datastoreItem xmlns:ds="http://schemas.openxmlformats.org/officeDocument/2006/customXml" ds:itemID="{0EA2CAB2-4E84-4AA2-9920-136C586A9E02}"/>
</file>

<file path=customXml/itemProps4.xml><?xml version="1.0" encoding="utf-8"?>
<ds:datastoreItem xmlns:ds="http://schemas.openxmlformats.org/officeDocument/2006/customXml" ds:itemID="{F16F0AC9-A5BA-47E8-802B-4D2BB79DBB9F}"/>
</file>

<file path=customXml/itemProps5.xml><?xml version="1.0" encoding="utf-8"?>
<ds:datastoreItem xmlns:ds="http://schemas.openxmlformats.org/officeDocument/2006/customXml" ds:itemID="{8838244A-E45C-4CE8-B302-1A179B7A951E}"/>
</file>

<file path=customXml/itemProps6.xml><?xml version="1.0" encoding="utf-8"?>
<ds:datastoreItem xmlns:ds="http://schemas.openxmlformats.org/officeDocument/2006/customXml" ds:itemID="{A591C4B8-719B-491F-8CBF-7F30394784DC}"/>
</file>

<file path=docProps/app.xml><?xml version="1.0" encoding="utf-8"?>
<Properties xmlns="http://schemas.openxmlformats.org/officeDocument/2006/extended-properties" xmlns:vt="http://schemas.openxmlformats.org/officeDocument/2006/docPropsVTypes">
  <Template>Normal.dotm</Template>
  <TotalTime>7</TotalTime>
  <Pages>15</Pages>
  <Words>4468</Words>
  <Characters>28070</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32474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lastModifiedBy>humphc</cp:lastModifiedBy>
  <cp:revision>12</cp:revision>
  <cp:lastPrinted>2016-05-19T03:32:00Z</cp:lastPrinted>
  <dcterms:created xsi:type="dcterms:W3CDTF">2016-05-02T04:10:00Z</dcterms:created>
  <dcterms:modified xsi:type="dcterms:W3CDTF">2016-05-19T03:32:00Z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_dlc_DocIdItemGuid">
    <vt:lpwstr>4f55d547-0a10-4229-a54a-d0fc9c759880</vt:lpwstr>
  </property>
  <property fmtid="{D5CDD505-2E9C-101B-9397-08002B2CF9AE}" pid="6" name="SPPCopyMoveEvent">
    <vt:lpwstr>0</vt:lpwstr>
  </property>
  <property fmtid="{D5CDD505-2E9C-101B-9397-08002B2CF9AE}" pid="7" name="a41428b017d04df981d58ffdf035d7b8">
    <vt:lpwstr/>
  </property>
</Properties>
</file>